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1"/>
        <w:tblW w:w="9390" w:type="dxa"/>
        <w:tblInd w:w="-176" w:type="dxa"/>
        <w:tblLayout w:type="fixed"/>
        <w:tblLook w:val="0000" w:firstRow="0" w:lastRow="0" w:firstColumn="0" w:lastColumn="0" w:noHBand="0" w:noVBand="0"/>
      </w:tblPr>
      <w:tblGrid>
        <w:gridCol w:w="3573"/>
        <w:gridCol w:w="5817"/>
      </w:tblGrid>
      <w:tr w:rsidR="00B16746" w:rsidRPr="00FD1023" w14:paraId="62C035DE" w14:textId="77777777" w:rsidTr="008904E3">
        <w:tc>
          <w:tcPr>
            <w:tcW w:w="3573" w:type="dxa"/>
          </w:tcPr>
          <w:p w14:paraId="56F9B97A" w14:textId="77777777" w:rsidR="00964372" w:rsidRPr="00FD1023" w:rsidRDefault="00367E35">
            <w:pPr>
              <w:ind w:right="-142"/>
              <w:jc w:val="center"/>
              <w:rPr>
                <w:b/>
                <w:sz w:val="28"/>
                <w:szCs w:val="28"/>
              </w:rPr>
            </w:pPr>
            <w:bookmarkStart w:id="0" w:name="_Hlk141776402"/>
            <w:r w:rsidRPr="00FD1023">
              <w:rPr>
                <w:b/>
                <w:sz w:val="28"/>
                <w:szCs w:val="28"/>
              </w:rPr>
              <w:t>VĂN PHÒNG CHÍNH PHỦ</w:t>
            </w:r>
          </w:p>
          <w:p w14:paraId="454D549D" w14:textId="77777777" w:rsidR="00964372" w:rsidRPr="00FD1023" w:rsidRDefault="00367E35">
            <w:pPr>
              <w:spacing w:after="240"/>
              <w:ind w:right="-142"/>
              <w:jc w:val="center"/>
              <w:rPr>
                <w:b/>
                <w:sz w:val="28"/>
                <w:szCs w:val="28"/>
                <w:vertAlign w:val="superscript"/>
              </w:rPr>
            </w:pPr>
            <w:r w:rsidRPr="00FD1023">
              <w:rPr>
                <w:b/>
                <w:sz w:val="28"/>
                <w:szCs w:val="28"/>
                <w:vertAlign w:val="superscript"/>
              </w:rPr>
              <w:t>_______________</w:t>
            </w:r>
          </w:p>
          <w:p w14:paraId="42B3D5F7" w14:textId="77777777" w:rsidR="00964372" w:rsidRPr="00FD1023" w:rsidRDefault="00367E35">
            <w:pPr>
              <w:ind w:right="-144"/>
              <w:jc w:val="center"/>
              <w:rPr>
                <w:sz w:val="28"/>
                <w:szCs w:val="28"/>
              </w:rPr>
            </w:pPr>
            <w:r w:rsidRPr="00FD1023">
              <w:rPr>
                <w:sz w:val="28"/>
                <w:szCs w:val="28"/>
              </w:rPr>
              <w:t xml:space="preserve">Số:  </w:t>
            </w:r>
            <w:r w:rsidR="00C218E7" w:rsidRPr="00FD1023">
              <w:rPr>
                <w:sz w:val="28"/>
                <w:szCs w:val="28"/>
              </w:rPr>
              <w:t xml:space="preserve">         </w:t>
            </w:r>
            <w:r w:rsidRPr="00FD1023">
              <w:rPr>
                <w:sz w:val="28"/>
                <w:szCs w:val="28"/>
              </w:rPr>
              <w:t>/BC-VPCP</w:t>
            </w:r>
          </w:p>
        </w:tc>
        <w:tc>
          <w:tcPr>
            <w:tcW w:w="5817" w:type="dxa"/>
          </w:tcPr>
          <w:p w14:paraId="082430C9" w14:textId="77777777" w:rsidR="00964372" w:rsidRPr="00FD1023" w:rsidRDefault="00367E35">
            <w:pPr>
              <w:pBdr>
                <w:top w:val="nil"/>
                <w:left w:val="nil"/>
                <w:bottom w:val="nil"/>
                <w:right w:val="nil"/>
                <w:between w:val="nil"/>
              </w:pBdr>
              <w:jc w:val="center"/>
              <w:rPr>
                <w:b/>
                <w:sz w:val="26"/>
                <w:szCs w:val="26"/>
              </w:rPr>
            </w:pPr>
            <w:r w:rsidRPr="00FD1023">
              <w:rPr>
                <w:b/>
                <w:sz w:val="26"/>
                <w:szCs w:val="26"/>
              </w:rPr>
              <w:t>CỘNG HOÀ XÃ HỘI CHỦ NGHĨA VIỆT NAM</w:t>
            </w:r>
          </w:p>
          <w:p w14:paraId="6F705081" w14:textId="77777777" w:rsidR="00964372" w:rsidRPr="00FD1023" w:rsidRDefault="00367E35">
            <w:pPr>
              <w:ind w:right="-144"/>
              <w:jc w:val="center"/>
              <w:rPr>
                <w:b/>
                <w:sz w:val="28"/>
                <w:szCs w:val="28"/>
              </w:rPr>
            </w:pPr>
            <w:r w:rsidRPr="00FD1023">
              <w:rPr>
                <w:b/>
                <w:sz w:val="28"/>
                <w:szCs w:val="28"/>
              </w:rPr>
              <w:t>Độc lập - Tự do - Hạnh phúc</w:t>
            </w:r>
          </w:p>
          <w:p w14:paraId="42CD5BA0" w14:textId="77777777" w:rsidR="00964372" w:rsidRPr="00FD1023" w:rsidRDefault="00367E35">
            <w:pPr>
              <w:ind w:right="-144"/>
              <w:jc w:val="center"/>
              <w:rPr>
                <w:b/>
                <w:sz w:val="28"/>
                <w:szCs w:val="28"/>
                <w:vertAlign w:val="superscript"/>
              </w:rPr>
            </w:pPr>
            <w:r w:rsidRPr="00FD1023">
              <w:rPr>
                <w:b/>
                <w:sz w:val="28"/>
                <w:szCs w:val="28"/>
                <w:vertAlign w:val="superscript"/>
              </w:rPr>
              <w:t>____________________________________________</w:t>
            </w:r>
          </w:p>
          <w:p w14:paraId="5B40DF37" w14:textId="3FE9CD14" w:rsidR="00964372" w:rsidRPr="00FD1023" w:rsidRDefault="00367E35">
            <w:pPr>
              <w:ind w:right="-144"/>
              <w:jc w:val="center"/>
              <w:rPr>
                <w:i/>
                <w:sz w:val="28"/>
                <w:szCs w:val="28"/>
              </w:rPr>
            </w:pPr>
            <w:r w:rsidRPr="00FD1023">
              <w:rPr>
                <w:i/>
                <w:sz w:val="28"/>
                <w:szCs w:val="28"/>
              </w:rPr>
              <w:t xml:space="preserve">Hà Nội, ngày </w:t>
            </w:r>
            <w:r w:rsidR="00C218E7" w:rsidRPr="00FD1023">
              <w:rPr>
                <w:i/>
                <w:sz w:val="28"/>
                <w:szCs w:val="28"/>
              </w:rPr>
              <w:t xml:space="preserve">    </w:t>
            </w:r>
            <w:r w:rsidRPr="00FD1023">
              <w:rPr>
                <w:i/>
                <w:sz w:val="28"/>
                <w:szCs w:val="28"/>
              </w:rPr>
              <w:t xml:space="preserve"> tháng </w:t>
            </w:r>
            <w:r w:rsidR="00B756F5" w:rsidRPr="00FD1023">
              <w:rPr>
                <w:i/>
                <w:sz w:val="28"/>
                <w:szCs w:val="28"/>
              </w:rPr>
              <w:t>12</w:t>
            </w:r>
            <w:r w:rsidR="00046B77" w:rsidRPr="00FD1023">
              <w:rPr>
                <w:i/>
                <w:sz w:val="28"/>
                <w:szCs w:val="28"/>
              </w:rPr>
              <w:t xml:space="preserve"> </w:t>
            </w:r>
            <w:r w:rsidRPr="00FD1023">
              <w:rPr>
                <w:i/>
                <w:sz w:val="28"/>
                <w:szCs w:val="28"/>
              </w:rPr>
              <w:t>năm 202</w:t>
            </w:r>
            <w:r w:rsidR="00F35F78" w:rsidRPr="00FD1023">
              <w:rPr>
                <w:i/>
                <w:sz w:val="28"/>
                <w:szCs w:val="28"/>
              </w:rPr>
              <w:t>3</w:t>
            </w:r>
            <w:r w:rsidRPr="00FD1023">
              <w:rPr>
                <w:i/>
                <w:sz w:val="28"/>
                <w:szCs w:val="28"/>
              </w:rPr>
              <w:t xml:space="preserve"> </w:t>
            </w:r>
          </w:p>
        </w:tc>
      </w:tr>
    </w:tbl>
    <w:p w14:paraId="6617E97C" w14:textId="77777777" w:rsidR="00FD1023" w:rsidRDefault="00FD1023" w:rsidP="007D080B">
      <w:pPr>
        <w:spacing w:after="240"/>
        <w:jc w:val="center"/>
        <w:rPr>
          <w:b/>
        </w:rPr>
      </w:pPr>
    </w:p>
    <w:p w14:paraId="56047D5A" w14:textId="30C27A84" w:rsidR="00B94D3B" w:rsidRPr="00FD1023" w:rsidRDefault="00B94D3B" w:rsidP="00F55589">
      <w:pPr>
        <w:spacing w:after="60"/>
        <w:jc w:val="center"/>
        <w:rPr>
          <w:b/>
        </w:rPr>
      </w:pPr>
      <w:r w:rsidRPr="00FD1023">
        <w:rPr>
          <w:b/>
        </w:rPr>
        <w:t>BÁO CÁO</w:t>
      </w:r>
    </w:p>
    <w:p w14:paraId="0549D305" w14:textId="32A503CE" w:rsidR="00B94D3B" w:rsidRPr="00FD1023" w:rsidRDefault="005926B3" w:rsidP="00F55589">
      <w:pPr>
        <w:spacing w:after="60"/>
        <w:jc w:val="center"/>
        <w:rPr>
          <w:b/>
        </w:rPr>
      </w:pPr>
      <w:r w:rsidRPr="00FD1023">
        <w:rPr>
          <w:b/>
        </w:rPr>
        <w:t>Tình hình, k</w:t>
      </w:r>
      <w:r w:rsidR="00B94D3B" w:rsidRPr="00FD1023">
        <w:rPr>
          <w:b/>
        </w:rPr>
        <w:t>ết quả</w:t>
      </w:r>
      <w:r w:rsidR="00021F5D" w:rsidRPr="00FD1023">
        <w:rPr>
          <w:b/>
        </w:rPr>
        <w:t xml:space="preserve"> thực hiện</w:t>
      </w:r>
      <w:r w:rsidR="00B94D3B" w:rsidRPr="00FD1023">
        <w:rPr>
          <w:b/>
        </w:rPr>
        <w:t xml:space="preserve"> </w:t>
      </w:r>
      <w:r w:rsidR="008B5D86" w:rsidRPr="00FD1023">
        <w:rPr>
          <w:b/>
        </w:rPr>
        <w:t xml:space="preserve">công tác </w:t>
      </w:r>
      <w:r w:rsidR="00B94D3B" w:rsidRPr="00FD1023">
        <w:rPr>
          <w:b/>
        </w:rPr>
        <w:t>cải cách thủ tục hành chính năm 2023</w:t>
      </w:r>
      <w:r w:rsidRPr="00FD1023">
        <w:rPr>
          <w:b/>
        </w:rPr>
        <w:t xml:space="preserve"> </w:t>
      </w:r>
      <w:r w:rsidRPr="00FD1023">
        <w:rPr>
          <w:b/>
        </w:rPr>
        <w:br/>
      </w:r>
      <w:r w:rsidR="008B5D86" w:rsidRPr="00FD1023">
        <w:rPr>
          <w:b/>
        </w:rPr>
        <w:t>và</w:t>
      </w:r>
      <w:r w:rsidR="00674144" w:rsidRPr="00FD1023">
        <w:rPr>
          <w:b/>
        </w:rPr>
        <w:t xml:space="preserve"> nhiệm vụ</w:t>
      </w:r>
      <w:r w:rsidR="008B5D86" w:rsidRPr="00FD1023">
        <w:rPr>
          <w:b/>
        </w:rPr>
        <w:t xml:space="preserve"> </w:t>
      </w:r>
      <w:r w:rsidR="00674144" w:rsidRPr="00FD1023">
        <w:rPr>
          <w:b/>
        </w:rPr>
        <w:t>trọng tâm năm 2024</w:t>
      </w:r>
    </w:p>
    <w:p w14:paraId="7C311AD0" w14:textId="3425E886" w:rsidR="00B94D3B" w:rsidRPr="00FD1023" w:rsidRDefault="00C72E05" w:rsidP="007D080B">
      <w:pPr>
        <w:spacing w:after="120"/>
        <w:jc w:val="center"/>
        <w:rPr>
          <w:b/>
        </w:rPr>
      </w:pPr>
      <w:r w:rsidRPr="00FD1023">
        <w:rPr>
          <w:b/>
          <w:noProof/>
          <w:lang w:val="en-US"/>
        </w:rPr>
        <mc:AlternateContent>
          <mc:Choice Requires="wps">
            <w:drawing>
              <wp:anchor distT="0" distB="0" distL="114300" distR="114300" simplePos="0" relativeHeight="251659264" behindDoc="0" locked="0" layoutInCell="1" allowOverlap="1" wp14:anchorId="45602E3C" wp14:editId="15DA9EA6">
                <wp:simplePos x="0" y="0"/>
                <wp:positionH relativeFrom="column">
                  <wp:posOffset>2497952</wp:posOffset>
                </wp:positionH>
                <wp:positionV relativeFrom="paragraph">
                  <wp:posOffset>60491</wp:posOffset>
                </wp:positionV>
                <wp:extent cx="72356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235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5616B9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7pt,4.75pt" to="253.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e6MtAEAALYDAAAOAAAAZHJzL2Uyb0RvYy54bWysU8GO0zAQvSPxD5bvNGkRC0RN99AVXBBU&#10;7PIBXmfcWNgea2ya9u8Zu20WAUIIcXE89nsz854n69ujd+IAlCyGXi4XrRQQNA427Hv55eHdizdS&#10;pKzCoBwG6OUJkrzdPH+2nmIHKxzRDUCCk4TUTbGXY86xa5qkR/AqLTBC4EuD5FXmkPbNQGri7N41&#10;q7a9aSakIRJqSIlP786XclPzGwM6fzImQRaul9xbrivV9bGszWatuj2pOFp9aUP9Qxde2cBF51R3&#10;KivxjewvqbzVhAlNXmj0DRpjNVQNrGbZ/qTmflQRqhY2J8XZpvT/0uqPhx0JO/DbSRGU5ye6z6Ts&#10;fsxiiyGwgUhiWXyaYuoYvg07ukQp7qiIPhry5ctyxLF6e5q9hWMWmg9fr16+unkrhb5eNU+8SCm/&#10;B/SibHrpbCiqVacOH1LmWgy9QjgofZwr110+OShgFz6DYSVca1nZdYZg60gcFL/+8LWq4FwVWSjG&#10;OjeT2j+TLthCgzpXf0uc0bUihjwTvQ1Iv6uaj9dWzRl/VX3WWmQ/4nCq71Dt4OGoLl0GuUzfj3Gl&#10;P/1um+8AAAD//wMAUEsDBBQABgAIAAAAIQAE/pGw3AAAAAcBAAAPAAAAZHJzL2Rvd25yZXYueG1s&#10;TI5NT4NAFEX3Jv6HyTNxZwfFSos8GuPHyi6QduFyyjyBlHlDmCmgv97RjS5v7s25J9vMphMjDa61&#10;jHC9iEAQV1a3XCPsdy9XKxDOK9aqs0wIn+Rgk5+fZSrVduI3GktfiwBhlyqExvs+ldJVDRnlFrYn&#10;Dt2HHYzyIQ611IOaAtx08iaK7qRRLYeHRvX02FB1LE8GIXl+LYt+etp+FTKRRTFavzq+I15ezA/3&#10;IDzN/m8MP/pBHfLgdLAn1k50CPE6vg1ThPUSROiXURKDOPxmmWfyv3/+DQAA//8DAFBLAQItABQA&#10;BgAIAAAAIQC2gziS/gAAAOEBAAATAAAAAAAAAAAAAAAAAAAAAABbQ29udGVudF9UeXBlc10ueG1s&#10;UEsBAi0AFAAGAAgAAAAhADj9If/WAAAAlAEAAAsAAAAAAAAAAAAAAAAALwEAAF9yZWxzLy5yZWxz&#10;UEsBAi0AFAAGAAgAAAAhAFnZ7oy0AQAAtgMAAA4AAAAAAAAAAAAAAAAALgIAAGRycy9lMm9Eb2Mu&#10;eG1sUEsBAi0AFAAGAAgAAAAhAAT+kbDcAAAABwEAAA8AAAAAAAAAAAAAAAAADgQAAGRycy9kb3du&#10;cmV2LnhtbFBLBQYAAAAABAAEAPMAAAAXBQAAAAA=&#10;" strokecolor="black [3040]"/>
            </w:pict>
          </mc:Fallback>
        </mc:AlternateContent>
      </w:r>
    </w:p>
    <w:p w14:paraId="02DEA004" w14:textId="6B81AF0D" w:rsidR="00B94D3B" w:rsidRPr="00FD1023" w:rsidRDefault="00B94D3B" w:rsidP="00FD1023">
      <w:pPr>
        <w:widowControl w:val="0"/>
        <w:spacing w:after="60"/>
        <w:jc w:val="center"/>
      </w:pPr>
      <w:r w:rsidRPr="00FD1023">
        <w:t>Kính gửi: Chính phủ.</w:t>
      </w:r>
    </w:p>
    <w:p w14:paraId="2F3BF5B6" w14:textId="77777777" w:rsidR="00F55589" w:rsidRPr="00FD1023" w:rsidRDefault="00F55589" w:rsidP="00FD1023">
      <w:pPr>
        <w:widowControl w:val="0"/>
        <w:spacing w:after="60"/>
        <w:jc w:val="center"/>
      </w:pPr>
    </w:p>
    <w:p w14:paraId="31AD7612" w14:textId="7F8FB9CB" w:rsidR="00F63FC9" w:rsidRPr="00FD1023" w:rsidRDefault="000C1F78" w:rsidP="00DC15D4">
      <w:pPr>
        <w:widowControl w:val="0"/>
        <w:spacing w:after="100"/>
        <w:ind w:firstLine="720"/>
        <w:jc w:val="both"/>
      </w:pPr>
      <w:r w:rsidRPr="00FD1023">
        <w:rPr>
          <w:spacing w:val="-6"/>
        </w:rPr>
        <w:t xml:space="preserve">Thực hiện nhiệm vụ </w:t>
      </w:r>
      <w:r w:rsidR="0055728E" w:rsidRPr="00FD1023">
        <w:rPr>
          <w:spacing w:val="-6"/>
        </w:rPr>
        <w:t xml:space="preserve">Chính phủ, </w:t>
      </w:r>
      <w:r w:rsidRPr="00FD1023">
        <w:rPr>
          <w:spacing w:val="-6"/>
        </w:rPr>
        <w:t xml:space="preserve">Thủ tướng Chính phủ giao, trên cơ sở </w:t>
      </w:r>
      <w:r w:rsidR="00554499" w:rsidRPr="00FD1023">
        <w:rPr>
          <w:spacing w:val="-6"/>
        </w:rPr>
        <w:t xml:space="preserve">báo cáo của </w:t>
      </w:r>
      <w:r w:rsidR="00C218E7" w:rsidRPr="00FD1023">
        <w:rPr>
          <w:spacing w:val="-6"/>
        </w:rPr>
        <w:t>các</w:t>
      </w:r>
      <w:r w:rsidR="00367E35" w:rsidRPr="00FD1023">
        <w:rPr>
          <w:spacing w:val="-6"/>
        </w:rPr>
        <w:t xml:space="preserve"> bộ, </w:t>
      </w:r>
      <w:r w:rsidR="00733DE4" w:rsidRPr="00FD1023">
        <w:rPr>
          <w:spacing w:val="-6"/>
        </w:rPr>
        <w:t>ngành</w:t>
      </w:r>
      <w:r w:rsidR="00367E35" w:rsidRPr="00FD1023">
        <w:rPr>
          <w:spacing w:val="-6"/>
        </w:rPr>
        <w:t>, địa phương</w:t>
      </w:r>
      <w:r w:rsidR="00554499" w:rsidRPr="00FD1023">
        <w:rPr>
          <w:spacing w:val="-6"/>
        </w:rPr>
        <w:t xml:space="preserve"> và</w:t>
      </w:r>
      <w:r w:rsidR="00367E35" w:rsidRPr="00FD1023">
        <w:rPr>
          <w:spacing w:val="-6"/>
        </w:rPr>
        <w:t xml:space="preserve"> </w:t>
      </w:r>
      <w:r w:rsidR="007A7D73" w:rsidRPr="00FD1023">
        <w:rPr>
          <w:spacing w:val="-6"/>
          <w:shd w:val="clear" w:color="auto" w:fill="FFFFFF"/>
        </w:rPr>
        <w:t>dữ</w:t>
      </w:r>
      <w:r w:rsidR="00554499" w:rsidRPr="00FD1023">
        <w:rPr>
          <w:spacing w:val="-6"/>
          <w:shd w:val="clear" w:color="auto" w:fill="FFFFFF"/>
        </w:rPr>
        <w:t xml:space="preserve"> liệu từ Bộ chỉ số phục vụ người dân và doanh nghiệp trên Cổng Dịch vụ công quốc gia</w:t>
      </w:r>
      <w:r w:rsidR="009B0A6C" w:rsidRPr="00FD1023">
        <w:rPr>
          <w:spacing w:val="-6"/>
          <w:shd w:val="clear" w:color="auto" w:fill="FFFFFF"/>
        </w:rPr>
        <w:t xml:space="preserve"> (DVCQG)</w:t>
      </w:r>
      <w:r w:rsidR="00554499" w:rsidRPr="00FD1023">
        <w:rPr>
          <w:spacing w:val="-6"/>
          <w:shd w:val="clear" w:color="auto" w:fill="FFFFFF"/>
        </w:rPr>
        <w:t>,</w:t>
      </w:r>
      <w:r w:rsidR="00554499" w:rsidRPr="00FD1023">
        <w:rPr>
          <w:spacing w:val="-6"/>
        </w:rPr>
        <w:t xml:space="preserve"> </w:t>
      </w:r>
      <w:r w:rsidR="00367E35" w:rsidRPr="00FD1023">
        <w:rPr>
          <w:spacing w:val="-6"/>
        </w:rPr>
        <w:t>Văn phòng Chính phủ báo cáo Chính phủ</w:t>
      </w:r>
      <w:r w:rsidRPr="00FD1023">
        <w:rPr>
          <w:spacing w:val="-6"/>
        </w:rPr>
        <w:t>,</w:t>
      </w:r>
      <w:r w:rsidRPr="00FD1023">
        <w:t xml:space="preserve"> Thủ tướng Chính phủ</w:t>
      </w:r>
      <w:r w:rsidR="00367E35" w:rsidRPr="00FD1023">
        <w:t xml:space="preserve"> </w:t>
      </w:r>
      <w:r w:rsidR="005F261F" w:rsidRPr="00FD1023">
        <w:t>về</w:t>
      </w:r>
      <w:r w:rsidR="00554499" w:rsidRPr="00FD1023">
        <w:t xml:space="preserve"> </w:t>
      </w:r>
      <w:r w:rsidR="00021F5D" w:rsidRPr="00FD1023">
        <w:t xml:space="preserve">tình hình, </w:t>
      </w:r>
      <w:r w:rsidR="00554499" w:rsidRPr="00FD1023">
        <w:t>kết quả thực hiện công tác cải cách thủ tục hành chính (TTHC) năm 2023</w:t>
      </w:r>
      <w:r w:rsidR="00674144" w:rsidRPr="00FD1023">
        <w:t xml:space="preserve"> và nhiệm vụ trọng tâm năm 2024</w:t>
      </w:r>
      <w:r w:rsidR="00554499" w:rsidRPr="00FD1023">
        <w:t xml:space="preserve"> </w:t>
      </w:r>
      <w:r w:rsidR="00367E35" w:rsidRPr="00FD1023">
        <w:t>như sau:</w:t>
      </w:r>
    </w:p>
    <w:p w14:paraId="6697685B" w14:textId="11014086" w:rsidR="00121108" w:rsidRPr="00FD1023" w:rsidRDefault="00367E35" w:rsidP="00DC15D4">
      <w:pPr>
        <w:widowControl w:val="0"/>
        <w:spacing w:after="100"/>
        <w:ind w:firstLine="720"/>
        <w:jc w:val="both"/>
        <w:rPr>
          <w:b/>
          <w:sz w:val="26"/>
          <w:szCs w:val="26"/>
        </w:rPr>
      </w:pPr>
      <w:r w:rsidRPr="00FD1023">
        <w:rPr>
          <w:b/>
          <w:sz w:val="26"/>
          <w:szCs w:val="26"/>
        </w:rPr>
        <w:t xml:space="preserve">I. </w:t>
      </w:r>
      <w:r w:rsidR="00FB357A" w:rsidRPr="00FD1023">
        <w:rPr>
          <w:b/>
          <w:sz w:val="26"/>
          <w:szCs w:val="26"/>
        </w:rPr>
        <w:t xml:space="preserve">TÌNH HÌNH, </w:t>
      </w:r>
      <w:r w:rsidR="00D85CBC" w:rsidRPr="00FD1023">
        <w:rPr>
          <w:b/>
          <w:sz w:val="26"/>
          <w:szCs w:val="26"/>
        </w:rPr>
        <w:t xml:space="preserve">KẾT QUẢ THỰC HIỆN </w:t>
      </w:r>
    </w:p>
    <w:p w14:paraId="598B5767" w14:textId="34D38CC8" w:rsidR="000C1F78" w:rsidRPr="00FD1023" w:rsidRDefault="000C1F78" w:rsidP="00DC15D4">
      <w:pPr>
        <w:widowControl w:val="0"/>
        <w:spacing w:after="100"/>
        <w:ind w:firstLine="720"/>
        <w:jc w:val="both"/>
        <w:rPr>
          <w:b/>
        </w:rPr>
      </w:pPr>
      <w:r w:rsidRPr="00FD1023">
        <w:rPr>
          <w:b/>
        </w:rPr>
        <w:t xml:space="preserve">1. </w:t>
      </w:r>
      <w:r w:rsidR="00FB357A" w:rsidRPr="00FD1023">
        <w:rPr>
          <w:b/>
        </w:rPr>
        <w:t>Về c</w:t>
      </w:r>
      <w:r w:rsidRPr="00FD1023">
        <w:rPr>
          <w:b/>
        </w:rPr>
        <w:t>ông tác chỉ đạo, điều hành</w:t>
      </w:r>
    </w:p>
    <w:p w14:paraId="622A622E" w14:textId="7C0B492F" w:rsidR="003C1E4B" w:rsidRPr="00FD1023" w:rsidRDefault="003C1E4B" w:rsidP="00DC15D4">
      <w:pPr>
        <w:autoSpaceDE w:val="0"/>
        <w:autoSpaceDN w:val="0"/>
        <w:adjustRightInd w:val="0"/>
        <w:spacing w:after="100"/>
        <w:ind w:firstLine="709"/>
        <w:jc w:val="both"/>
        <w:rPr>
          <w:lang w:val="en-US"/>
        </w:rPr>
      </w:pPr>
      <w:bookmarkStart w:id="1" w:name="_Hlk147145901"/>
      <w:r w:rsidRPr="00FD1023">
        <w:t xml:space="preserve">Chính phủ, Thủ tướng Chính phủ </w:t>
      </w:r>
      <w:r w:rsidR="00902A31" w:rsidRPr="00FD1023">
        <w:t xml:space="preserve">tiếp tục </w:t>
      </w:r>
      <w:r w:rsidR="00F55589" w:rsidRPr="00FD1023">
        <w:t xml:space="preserve">quan tâm, </w:t>
      </w:r>
      <w:r w:rsidRPr="00FD1023">
        <w:t xml:space="preserve">chỉ đạo </w:t>
      </w:r>
      <w:r w:rsidR="00F55589" w:rsidRPr="00FD1023">
        <w:t>quyết liệt</w:t>
      </w:r>
      <w:r w:rsidRPr="00FD1023">
        <w:t xml:space="preserve"> các bộ, ngành, địa phương tập trung đẩy mạnh </w:t>
      </w:r>
      <w:r w:rsidR="00D0369C" w:rsidRPr="00FD1023">
        <w:t xml:space="preserve">thực hiện </w:t>
      </w:r>
      <w:r w:rsidRPr="00FD1023">
        <w:t xml:space="preserve">công tác </w:t>
      </w:r>
      <w:r w:rsidR="00D0369C" w:rsidRPr="00FD1023">
        <w:t>cải cách</w:t>
      </w:r>
      <w:r w:rsidRPr="00FD1023">
        <w:t xml:space="preserve"> thủ tục hành chính (TTHC), rà soát, cắt giảm</w:t>
      </w:r>
      <w:r w:rsidR="00902A31" w:rsidRPr="00FD1023">
        <w:t>, đơn giản hóa</w:t>
      </w:r>
      <w:r w:rsidRPr="00FD1023">
        <w:t xml:space="preserve"> các </w:t>
      </w:r>
      <w:r w:rsidR="00FB357A" w:rsidRPr="00FD1023">
        <w:t>quy định liên quan đến hoạt động</w:t>
      </w:r>
      <w:r w:rsidRPr="00FD1023">
        <w:t xml:space="preserve"> kinh doanh, </w:t>
      </w:r>
      <w:r w:rsidRPr="00FD1023">
        <w:rPr>
          <w:shd w:val="clear" w:color="auto" w:fill="FFFFFF"/>
        </w:rPr>
        <w:t xml:space="preserve">thực hiện cơ chế một cửa, một cửa liên thông trong giải quyết TTHC, </w:t>
      </w:r>
      <w:r w:rsidRPr="00FD1023">
        <w:t>phân cấp giải quyết TTHC, đơn giản hóa TTHC nội bộ trong hệ thống hành chính nhà nước</w:t>
      </w:r>
      <w:r w:rsidR="00902A31" w:rsidRPr="00FD1023">
        <w:t>,</w:t>
      </w:r>
      <w:r w:rsidRPr="00FD1023">
        <w:rPr>
          <w:shd w:val="clear" w:color="auto" w:fill="FFFFFF"/>
        </w:rPr>
        <w:t>...</w:t>
      </w:r>
      <w:r w:rsidR="009B325D" w:rsidRPr="00FD1023">
        <w:rPr>
          <w:lang w:val="en-US"/>
        </w:rPr>
        <w:t xml:space="preserve"> </w:t>
      </w:r>
      <w:r w:rsidR="00902A31" w:rsidRPr="00FD1023">
        <w:rPr>
          <w:lang w:val="en-US"/>
        </w:rPr>
        <w:t xml:space="preserve">nhằm tạo thuận lợi, giảm chi phí thực hiện TTHC cho </w:t>
      </w:r>
      <w:r w:rsidR="00902A31" w:rsidRPr="00FD1023">
        <w:rPr>
          <w:lang w:val="vi-VN"/>
        </w:rPr>
        <w:t>người dân, doanh nghiệp</w:t>
      </w:r>
      <w:r w:rsidR="00D0369C" w:rsidRPr="00FD1023">
        <w:rPr>
          <w:lang w:val="en-US"/>
        </w:rPr>
        <w:t xml:space="preserve">. </w:t>
      </w:r>
      <w:r w:rsidR="00D0369C" w:rsidRPr="00FD1023">
        <w:t>Trong năm 2023, Chính phủ, Thủ tướng Chính phủ đã</w:t>
      </w:r>
      <w:r w:rsidR="007D46A0" w:rsidRPr="00FD1023">
        <w:rPr>
          <w:lang w:val="en-US"/>
        </w:rPr>
        <w:t xml:space="preserve"> </w:t>
      </w:r>
      <w:r w:rsidR="00D0369C" w:rsidRPr="00FD1023">
        <w:rPr>
          <w:lang w:val="en-US"/>
        </w:rPr>
        <w:t>có</w:t>
      </w:r>
      <w:r w:rsidR="007D46A0" w:rsidRPr="00FD1023">
        <w:rPr>
          <w:lang w:val="en-US"/>
        </w:rPr>
        <w:t xml:space="preserve"> </w:t>
      </w:r>
      <w:r w:rsidR="00F822D7" w:rsidRPr="00FD1023">
        <w:rPr>
          <w:lang w:val="en-US"/>
        </w:rPr>
        <w:t>12</w:t>
      </w:r>
      <w:r w:rsidR="007D46A0" w:rsidRPr="00FD1023">
        <w:rPr>
          <w:lang w:val="en-US"/>
        </w:rPr>
        <w:t xml:space="preserve"> Nghị quyết, </w:t>
      </w:r>
      <w:r w:rsidR="007D46A0" w:rsidRPr="00FD1023">
        <w:t>02 Công điện, 02 Chỉ th</w:t>
      </w:r>
      <w:r w:rsidR="007D46A0" w:rsidRPr="00FD1023">
        <w:rPr>
          <w:lang w:val="vi-VN"/>
        </w:rPr>
        <w:t>ị</w:t>
      </w:r>
      <w:r w:rsidR="007D46A0" w:rsidRPr="00FD1023">
        <w:t>, 01 Quyết định</w:t>
      </w:r>
      <w:r w:rsidR="007D46A0" w:rsidRPr="00FD1023">
        <w:rPr>
          <w:lang w:val="vi-VN"/>
        </w:rPr>
        <w:t xml:space="preserve"> và nhiều văn </w:t>
      </w:r>
      <w:r w:rsidR="007D46A0" w:rsidRPr="00FD1023">
        <w:rPr>
          <w:lang w:val="en-US"/>
        </w:rPr>
        <w:t xml:space="preserve">bản </w:t>
      </w:r>
      <w:r w:rsidR="007D46A0" w:rsidRPr="00FD1023">
        <w:rPr>
          <w:lang w:val="vi-VN"/>
        </w:rPr>
        <w:t>chỉ đạo</w:t>
      </w:r>
      <w:r w:rsidR="00902A31" w:rsidRPr="00FD1023">
        <w:rPr>
          <w:lang w:val="en-US"/>
        </w:rPr>
        <w:t xml:space="preserve"> khác</w:t>
      </w:r>
      <w:r w:rsidR="00D0369C" w:rsidRPr="00FD1023">
        <w:rPr>
          <w:lang w:val="en-US"/>
        </w:rPr>
        <w:t xml:space="preserve"> về công tác cải cách TTHC</w:t>
      </w:r>
      <w:r w:rsidRPr="00FD1023">
        <w:rPr>
          <w:rStyle w:val="FootnoteReference"/>
          <w:rFonts w:eastAsiaTheme="majorEastAsia"/>
          <w:b/>
          <w:shd w:val="clear" w:color="auto" w:fill="FFFFFF"/>
        </w:rPr>
        <w:footnoteReference w:id="1"/>
      </w:r>
      <w:r w:rsidR="00F42EE2" w:rsidRPr="00FD1023">
        <w:rPr>
          <w:lang w:val="en-US"/>
        </w:rPr>
        <w:t xml:space="preserve">; giao </w:t>
      </w:r>
      <w:r w:rsidR="00F42EE2" w:rsidRPr="00FD1023">
        <w:rPr>
          <w:shd w:val="clear" w:color="auto" w:fill="FFFFFF"/>
        </w:rPr>
        <w:t>Văn phòng Chính phủ tăng cường đôn đốc, hướng dẫn triển khai thực hiện công tác này bảo đảm thực chất, hiệu quả</w:t>
      </w:r>
      <w:r w:rsidRPr="00FD1023">
        <w:rPr>
          <w:shd w:val="clear" w:color="auto" w:fill="FFFFFF"/>
        </w:rPr>
        <w:t>.</w:t>
      </w:r>
    </w:p>
    <w:p w14:paraId="679F3E77" w14:textId="4FC2542D" w:rsidR="009C37CE" w:rsidRPr="00FD1023" w:rsidRDefault="00902A31" w:rsidP="00DC15D4">
      <w:pPr>
        <w:autoSpaceDE w:val="0"/>
        <w:autoSpaceDN w:val="0"/>
        <w:adjustRightInd w:val="0"/>
        <w:spacing w:after="100"/>
        <w:ind w:firstLine="709"/>
        <w:jc w:val="both"/>
        <w:rPr>
          <w:rFonts w:eastAsiaTheme="minorHAnsi"/>
          <w:spacing w:val="-4"/>
        </w:rPr>
      </w:pPr>
      <w:r w:rsidRPr="00FD1023">
        <w:rPr>
          <w:spacing w:val="-4"/>
          <w:lang w:val="en-US"/>
        </w:rPr>
        <w:t xml:space="preserve">Đồng thời, </w:t>
      </w:r>
      <w:r w:rsidR="009C37CE" w:rsidRPr="00FD1023">
        <w:rPr>
          <w:spacing w:val="-4"/>
          <w:lang w:val="vi-VN"/>
        </w:rPr>
        <w:t xml:space="preserve">Thủ tướng </w:t>
      </w:r>
      <w:r w:rsidR="00D14DEF" w:rsidRPr="00FD1023">
        <w:rPr>
          <w:spacing w:val="-4"/>
          <w:lang w:val="en-US"/>
        </w:rPr>
        <w:t xml:space="preserve">Chính phủ </w:t>
      </w:r>
      <w:r w:rsidR="009C37CE" w:rsidRPr="00FD1023">
        <w:rPr>
          <w:spacing w:val="-4"/>
          <w:lang w:val="vi-VN"/>
        </w:rPr>
        <w:t xml:space="preserve">đã kịp thời </w:t>
      </w:r>
      <w:r w:rsidR="0039496C" w:rsidRPr="00FD1023">
        <w:rPr>
          <w:spacing w:val="-4"/>
          <w:lang w:val="en-US"/>
        </w:rPr>
        <w:t xml:space="preserve">chỉ đạo, </w:t>
      </w:r>
      <w:r w:rsidR="009C37CE" w:rsidRPr="00FD1023">
        <w:rPr>
          <w:spacing w:val="-4"/>
          <w:lang w:val="vi-VN"/>
        </w:rPr>
        <w:t xml:space="preserve">chấn chỉnh các bộ, ngành, địa phương thực hiện nghiêm quy định </w:t>
      </w:r>
      <w:r w:rsidR="0039496C" w:rsidRPr="00FD1023">
        <w:rPr>
          <w:spacing w:val="-4"/>
          <w:lang w:val="en-US"/>
        </w:rPr>
        <w:t>về cải cách TTHC</w:t>
      </w:r>
      <w:r w:rsidR="00757809" w:rsidRPr="00FD1023">
        <w:rPr>
          <w:spacing w:val="-4"/>
          <w:lang w:val="en-US"/>
        </w:rPr>
        <w:t xml:space="preserve"> </w:t>
      </w:r>
      <w:r w:rsidR="00757809" w:rsidRPr="00FD1023">
        <w:rPr>
          <w:i/>
          <w:spacing w:val="-4"/>
          <w:lang w:val="en-US"/>
        </w:rPr>
        <w:t>(</w:t>
      </w:r>
      <w:r w:rsidR="009C37CE" w:rsidRPr="00FD1023">
        <w:rPr>
          <w:i/>
          <w:spacing w:val="-4"/>
          <w:lang w:val="vi-VN"/>
        </w:rPr>
        <w:t>bỏ sổ hộ khẩu, sổ tạm trú giấy,</w:t>
      </w:r>
      <w:r w:rsidR="00757809" w:rsidRPr="00FD1023">
        <w:rPr>
          <w:i/>
          <w:spacing w:val="-4"/>
          <w:lang w:val="en-US"/>
        </w:rPr>
        <w:t>…)</w:t>
      </w:r>
      <w:r w:rsidR="00757809" w:rsidRPr="00FD1023">
        <w:rPr>
          <w:spacing w:val="-4"/>
          <w:lang w:val="en-US"/>
        </w:rPr>
        <w:t>;</w:t>
      </w:r>
      <w:r w:rsidR="009C37CE" w:rsidRPr="00FD1023">
        <w:rPr>
          <w:spacing w:val="-4"/>
          <w:lang w:val="vi-VN"/>
        </w:rPr>
        <w:t xml:space="preserve"> </w:t>
      </w:r>
      <w:r w:rsidR="00757809" w:rsidRPr="00FD1023">
        <w:rPr>
          <w:spacing w:val="-4"/>
          <w:lang w:val="en-US"/>
        </w:rPr>
        <w:t xml:space="preserve">đề xuất cơ chế </w:t>
      </w:r>
      <w:r w:rsidR="00F22C2B" w:rsidRPr="00FD1023">
        <w:rPr>
          <w:spacing w:val="-4"/>
          <w:lang w:val="vi-VN"/>
        </w:rPr>
        <w:t xml:space="preserve">ưu đãi về phí, lệ phí </w:t>
      </w:r>
      <w:r w:rsidR="00F22C2B" w:rsidRPr="00FD1023">
        <w:rPr>
          <w:spacing w:val="-4"/>
        </w:rPr>
        <w:t xml:space="preserve">thực hiện TTHC khi </w:t>
      </w:r>
      <w:r w:rsidR="00F22C2B" w:rsidRPr="00FD1023">
        <w:rPr>
          <w:spacing w:val="-4"/>
          <w:lang w:val="vi-VN"/>
        </w:rPr>
        <w:t>thực hiện dịch vụ công trực tuyến</w:t>
      </w:r>
      <w:r w:rsidR="009C37CE" w:rsidRPr="00FD1023">
        <w:rPr>
          <w:b/>
          <w:spacing w:val="-4"/>
          <w:vertAlign w:val="superscript"/>
          <w:lang w:val="vi-VN"/>
        </w:rPr>
        <w:footnoteReference w:id="2"/>
      </w:r>
      <w:r w:rsidR="00757809" w:rsidRPr="00FD1023">
        <w:rPr>
          <w:spacing w:val="-4"/>
          <w:lang w:val="en-US"/>
        </w:rPr>
        <w:t>;</w:t>
      </w:r>
      <w:r w:rsidR="00757809" w:rsidRPr="00FD1023">
        <w:rPr>
          <w:spacing w:val="-4"/>
          <w:lang w:val="vi-VN"/>
        </w:rPr>
        <w:t xml:space="preserve"> xem xét, xử lý hành vi gây khó khăn, nhũng nhiễu</w:t>
      </w:r>
      <w:r w:rsidR="00757809" w:rsidRPr="00FD1023">
        <w:rPr>
          <w:spacing w:val="-4"/>
          <w:lang w:val="en-US"/>
        </w:rPr>
        <w:t>, kéo dài thời gian</w:t>
      </w:r>
      <w:r w:rsidR="00757809" w:rsidRPr="00FD1023">
        <w:rPr>
          <w:spacing w:val="-4"/>
          <w:lang w:val="vi-VN"/>
        </w:rPr>
        <w:t xml:space="preserve"> trong giải quyết TTHC theo phản ánh của người dân, doanh nghiệp, các phương tiện truyền thông</w:t>
      </w:r>
      <w:r w:rsidR="00757809" w:rsidRPr="00FD1023">
        <w:rPr>
          <w:spacing w:val="-4"/>
          <w:lang w:val="en-US"/>
        </w:rPr>
        <w:t xml:space="preserve"> </w:t>
      </w:r>
      <w:r w:rsidR="00757809" w:rsidRPr="00FD1023">
        <w:rPr>
          <w:i/>
          <w:spacing w:val="-4"/>
          <w:lang w:val="en-US"/>
        </w:rPr>
        <w:t>(</w:t>
      </w:r>
      <w:r w:rsidR="00D16BE0" w:rsidRPr="00FD1023">
        <w:rPr>
          <w:i/>
          <w:spacing w:val="-4"/>
          <w:lang w:val="en-US"/>
        </w:rPr>
        <w:t xml:space="preserve">lĩnh vực đất đai tại Tuyên Quang, </w:t>
      </w:r>
      <w:r w:rsidR="00B47023" w:rsidRPr="00FD1023">
        <w:rPr>
          <w:i/>
          <w:spacing w:val="-4"/>
          <w:lang w:val="en-US"/>
        </w:rPr>
        <w:t>Nam Định</w:t>
      </w:r>
      <w:r w:rsidR="00D16BE0" w:rsidRPr="00FD1023">
        <w:rPr>
          <w:i/>
          <w:spacing w:val="-4"/>
          <w:lang w:val="en-US"/>
        </w:rPr>
        <w:t>,..</w:t>
      </w:r>
      <w:r w:rsidR="009C37CE" w:rsidRPr="00FD1023">
        <w:rPr>
          <w:i/>
          <w:spacing w:val="-4"/>
        </w:rPr>
        <w:t>.</w:t>
      </w:r>
      <w:r w:rsidR="00D16BE0" w:rsidRPr="00FD1023">
        <w:rPr>
          <w:i/>
          <w:spacing w:val="-4"/>
        </w:rPr>
        <w:t>)</w:t>
      </w:r>
      <w:r w:rsidR="00B23FE7" w:rsidRPr="00FD1023">
        <w:rPr>
          <w:rStyle w:val="FootnoteReference"/>
          <w:b/>
          <w:spacing w:val="-4"/>
        </w:rPr>
        <w:footnoteReference w:id="3"/>
      </w:r>
      <w:r w:rsidR="00D16BE0" w:rsidRPr="00FD1023">
        <w:rPr>
          <w:spacing w:val="-4"/>
        </w:rPr>
        <w:t>.</w:t>
      </w:r>
    </w:p>
    <w:p w14:paraId="0DA8BEC3" w14:textId="5D7915D3" w:rsidR="00D81D15" w:rsidRPr="00FD1023" w:rsidRDefault="00CE7963" w:rsidP="007D080B">
      <w:pPr>
        <w:autoSpaceDE w:val="0"/>
        <w:autoSpaceDN w:val="0"/>
        <w:adjustRightInd w:val="0"/>
        <w:spacing w:after="120"/>
        <w:ind w:firstLine="709"/>
        <w:jc w:val="both"/>
        <w:rPr>
          <w:lang w:eastAsia="vi-VN"/>
        </w:rPr>
      </w:pPr>
      <w:r w:rsidRPr="00FD1023">
        <w:lastRenderedPageBreak/>
        <w:t xml:space="preserve">Thủ tướng Chính phủ </w:t>
      </w:r>
      <w:r w:rsidRPr="00FD1023">
        <w:rPr>
          <w:lang w:eastAsia="vi-VN"/>
        </w:rPr>
        <w:t>đã thành lập Tổ công tác cải cách TTHC</w:t>
      </w:r>
      <w:r w:rsidRPr="00A2757E">
        <w:rPr>
          <w:rStyle w:val="FootnoteReference"/>
          <w:b/>
          <w:lang w:eastAsia="vi-VN"/>
        </w:rPr>
        <w:footnoteReference w:id="4"/>
      </w:r>
      <w:r w:rsidRPr="00FD1023">
        <w:rPr>
          <w:lang w:eastAsia="vi-VN"/>
        </w:rPr>
        <w:t xml:space="preserve"> </w:t>
      </w:r>
      <w:r w:rsidR="0039496C" w:rsidRPr="00FD1023">
        <w:rPr>
          <w:lang w:eastAsia="vi-VN"/>
        </w:rPr>
        <w:t xml:space="preserve">và </w:t>
      </w:r>
      <w:r w:rsidR="0039496C" w:rsidRPr="00FD1023">
        <w:rPr>
          <w:lang w:val="vi-VN" w:eastAsia="vi-VN"/>
        </w:rPr>
        <w:t>phân công Phó Thủ tướng là Tổ trưởng Tổ công tác</w:t>
      </w:r>
      <w:r w:rsidR="0039496C" w:rsidRPr="00FD1023">
        <w:rPr>
          <w:lang w:eastAsia="vi-VN"/>
        </w:rPr>
        <w:t xml:space="preserve"> </w:t>
      </w:r>
      <w:r w:rsidRPr="00FD1023">
        <w:rPr>
          <w:lang w:eastAsia="vi-VN"/>
        </w:rPr>
        <w:t>để chỉ đạo, đôn đốc các bộ, ngành, địa phương triển khai thực hiện các nhiệm vụ cải cách TTHC, tăng cường kỷ luật, kỷ cương hành chính</w:t>
      </w:r>
      <w:r w:rsidRPr="00FD1023">
        <w:rPr>
          <w:lang w:val="vi-VN" w:eastAsia="vi-VN"/>
        </w:rPr>
        <w:t>,</w:t>
      </w:r>
      <w:r w:rsidRPr="00FD1023">
        <w:rPr>
          <w:lang w:eastAsia="vi-VN"/>
        </w:rPr>
        <w:t xml:space="preserve"> nâng cao năng lực phản ứng chính sách</w:t>
      </w:r>
      <w:r w:rsidR="0039496C" w:rsidRPr="00FD1023">
        <w:rPr>
          <w:lang w:eastAsia="vi-VN"/>
        </w:rPr>
        <w:t>. Tổ công tác đã tích cực phát huy vai trò và đạt được một số kết quả bước đầu thông qua việc ban hành Kế hoạch triển khai 4 tháng cuối năm 2023</w:t>
      </w:r>
      <w:r w:rsidR="0039496C" w:rsidRPr="00FD1023">
        <w:rPr>
          <w:b/>
          <w:vertAlign w:val="superscript"/>
          <w:lang w:eastAsia="vi-VN"/>
        </w:rPr>
        <w:footnoteReference w:id="5"/>
      </w:r>
      <w:r w:rsidR="0039496C" w:rsidRPr="00FD1023">
        <w:rPr>
          <w:lang w:eastAsia="vi-VN"/>
        </w:rPr>
        <w:t>; giao các nhiệm vụ cụ thể cho từng thành viên Tổ công tác và các bộ, ngành, địa phương</w:t>
      </w:r>
      <w:r w:rsidR="0039496C" w:rsidRPr="00FD1023">
        <w:rPr>
          <w:b/>
          <w:vertAlign w:val="superscript"/>
          <w:lang w:eastAsia="vi-VN"/>
        </w:rPr>
        <w:footnoteReference w:id="6"/>
      </w:r>
      <w:r w:rsidR="0039496C" w:rsidRPr="00FD1023">
        <w:rPr>
          <w:lang w:eastAsia="vi-VN"/>
        </w:rPr>
        <w:t>; tổ chức 02 phiên họp</w:t>
      </w:r>
      <w:r w:rsidR="0039496C" w:rsidRPr="00FD1023">
        <w:rPr>
          <w:rStyle w:val="FootnoteReference"/>
          <w:rFonts w:eastAsiaTheme="majorEastAsia"/>
          <w:b/>
          <w:lang w:eastAsia="vi-VN"/>
        </w:rPr>
        <w:footnoteReference w:id="7"/>
      </w:r>
      <w:r w:rsidR="0039496C" w:rsidRPr="00FD1023">
        <w:rPr>
          <w:lang w:eastAsia="vi-VN"/>
        </w:rPr>
        <w:t xml:space="preserve"> và 01 buổi làm việc</w:t>
      </w:r>
      <w:r w:rsidR="0039496C" w:rsidRPr="00FD1023">
        <w:rPr>
          <w:rStyle w:val="FootnoteReference"/>
          <w:rFonts w:eastAsiaTheme="majorEastAsia"/>
          <w:b/>
          <w:lang w:eastAsia="vi-VN"/>
        </w:rPr>
        <w:footnoteReference w:id="8"/>
      </w:r>
      <w:r w:rsidR="0039496C" w:rsidRPr="00FD1023">
        <w:rPr>
          <w:lang w:eastAsia="vi-VN"/>
        </w:rPr>
        <w:t xml:space="preserve"> với các bộ, ngành, địa phương để đánh giá, thúc đẩy công tác cải cách TTHC</w:t>
      </w:r>
      <w:r w:rsidR="00A03760" w:rsidRPr="00FD1023">
        <w:rPr>
          <w:lang w:eastAsia="vi-VN"/>
        </w:rPr>
        <w:t>; đ</w:t>
      </w:r>
      <w:r w:rsidRPr="00FD1023">
        <w:rPr>
          <w:lang w:eastAsia="vi-VN"/>
        </w:rPr>
        <w:t>ồng thời, đã quyết liệt chỉ đạo t</w:t>
      </w:r>
      <w:r w:rsidRPr="00FD1023">
        <w:rPr>
          <w:rFonts w:eastAsiaTheme="minorHAnsi"/>
        </w:rPr>
        <w:t>iếp tục đẩy mạnh thực hiện cắt giảm, đơn giản hóa quy định liên quan đến hoạt động kinh doanh, phân cấp trong giải quyết TTHC và cắt giảm, đơn giản hóa TTHC nội bộ</w:t>
      </w:r>
      <w:r w:rsidRPr="00FD1023">
        <w:rPr>
          <w:rStyle w:val="FootnoteReference"/>
          <w:rFonts w:eastAsiaTheme="minorHAnsi"/>
          <w:b/>
        </w:rPr>
        <w:footnoteReference w:id="9"/>
      </w:r>
      <w:r w:rsidRPr="00FD1023">
        <w:rPr>
          <w:rFonts w:eastAsiaTheme="minorHAnsi"/>
        </w:rPr>
        <w:t>;</w:t>
      </w:r>
      <w:r w:rsidRPr="00FD1023">
        <w:rPr>
          <w:lang w:eastAsia="vi-VN"/>
        </w:rPr>
        <w:t xml:space="preserve"> kịp thời chấn chỉnh, kiểm tra xử lý kiến nghị việc quy định và thực hiện TTHC không đúng quy định của pháp luật trong các lĩnh vực giáo dục, tư pháp và y tế</w:t>
      </w:r>
      <w:r w:rsidRPr="00FD1023">
        <w:rPr>
          <w:rStyle w:val="FootnoteReference"/>
          <w:rFonts w:eastAsiaTheme="minorHAnsi"/>
          <w:b/>
        </w:rPr>
        <w:footnoteReference w:id="10"/>
      </w:r>
      <w:r w:rsidRPr="00FD1023">
        <w:rPr>
          <w:rFonts w:eastAsiaTheme="minorHAnsi"/>
        </w:rPr>
        <w:t>.</w:t>
      </w:r>
      <w:r w:rsidR="009B325D" w:rsidRPr="00FD1023">
        <w:rPr>
          <w:lang w:val="vi-VN"/>
        </w:rPr>
        <w:t xml:space="preserve"> </w:t>
      </w:r>
      <w:r w:rsidR="00F42EE2" w:rsidRPr="00FD1023">
        <w:rPr>
          <w:lang w:eastAsia="vi-VN"/>
        </w:rPr>
        <w:t>Bên cạnh đó, Thủ tướng Chính phủ đã kiện toàn Hội đồng tư v</w:t>
      </w:r>
      <w:r w:rsidR="00EF6C4A" w:rsidRPr="00FD1023">
        <w:rPr>
          <w:lang w:eastAsia="vi-VN"/>
        </w:rPr>
        <w:t>ấn cải cách TTHC</w:t>
      </w:r>
      <w:r w:rsidR="00EF6C4A" w:rsidRPr="00DC15D4">
        <w:rPr>
          <w:rStyle w:val="FootnoteReference"/>
          <w:b/>
          <w:lang w:eastAsia="vi-VN"/>
        </w:rPr>
        <w:footnoteReference w:id="11"/>
      </w:r>
      <w:r w:rsidR="00EF6C4A" w:rsidRPr="00FD1023">
        <w:rPr>
          <w:lang w:eastAsia="vi-VN"/>
        </w:rPr>
        <w:t xml:space="preserve"> thực hiện chức năng tư vấn, đề xuất với Thủ tướng Chính phủ các sáng kiến cải cách về cơ chế, chính sách, TTHC liên quan đến hoạt động sản xuất, kinh doanh và đời sống của người dân; đánh giá việc thực hiện cải cách TTHC tại các bộ, ngành, địa phương.</w:t>
      </w:r>
    </w:p>
    <w:p w14:paraId="43B14CFE" w14:textId="4D3157F9" w:rsidR="00D81D15" w:rsidRPr="00FD1023" w:rsidRDefault="00765390" w:rsidP="007D080B">
      <w:pPr>
        <w:pStyle w:val="BodyTextIndent"/>
        <w:tabs>
          <w:tab w:val="left" w:pos="840"/>
        </w:tabs>
        <w:spacing w:after="120"/>
        <w:ind w:right="0" w:firstLine="709"/>
        <w:rPr>
          <w:rFonts w:ascii="Times New Roman" w:hAnsi="Times New Roman"/>
          <w:szCs w:val="28"/>
        </w:rPr>
      </w:pPr>
      <w:r w:rsidRPr="00FD1023">
        <w:rPr>
          <w:rFonts w:ascii="Times New Roman" w:hAnsi="Times New Roman"/>
          <w:spacing w:val="-2"/>
          <w:lang w:val="en-US"/>
        </w:rPr>
        <w:t xml:space="preserve">Với vai trò là cơ quan chủ trì triển khai nội dung cải cách TTHC, </w:t>
      </w:r>
      <w:r w:rsidR="00824515" w:rsidRPr="00FD1023">
        <w:rPr>
          <w:rFonts w:ascii="Times New Roman" w:hAnsi="Times New Roman"/>
          <w:spacing w:val="-2"/>
          <w:lang w:val="en-US"/>
        </w:rPr>
        <w:t>V</w:t>
      </w:r>
      <w:r w:rsidR="007A51BA" w:rsidRPr="00FD1023">
        <w:rPr>
          <w:rFonts w:ascii="Times New Roman" w:hAnsi="Times New Roman"/>
          <w:spacing w:val="-2"/>
          <w:lang w:val="en-US"/>
        </w:rPr>
        <w:t>ăn phòng Chính phủ</w:t>
      </w:r>
      <w:r w:rsidR="00D81D15" w:rsidRPr="00FD1023">
        <w:rPr>
          <w:rFonts w:ascii="Times New Roman" w:hAnsi="Times New Roman"/>
          <w:spacing w:val="-2"/>
          <w:lang w:val="en-US"/>
        </w:rPr>
        <w:t xml:space="preserve"> đ</w:t>
      </w:r>
      <w:r w:rsidR="00833F16" w:rsidRPr="00FD1023">
        <w:rPr>
          <w:rFonts w:ascii="Times New Roman" w:hAnsi="Times New Roman"/>
          <w:spacing w:val="-2"/>
          <w:lang w:val="en-US"/>
        </w:rPr>
        <w:t xml:space="preserve">ã </w:t>
      </w:r>
      <w:r w:rsidRPr="00FD1023">
        <w:rPr>
          <w:rFonts w:ascii="Times New Roman" w:hAnsi="Times New Roman"/>
          <w:spacing w:val="-2"/>
          <w:lang w:val="en-US"/>
        </w:rPr>
        <w:t>chủ động</w:t>
      </w:r>
      <w:r w:rsidR="005C6C98">
        <w:rPr>
          <w:rFonts w:ascii="Times New Roman" w:hAnsi="Times New Roman"/>
          <w:spacing w:val="-2"/>
          <w:lang w:val="en-US"/>
        </w:rPr>
        <w:t xml:space="preserve"> phối hợp với các bộ, ngành, địa phương, cơ quan liên quan</w:t>
      </w:r>
      <w:r w:rsidRPr="00FD1023">
        <w:rPr>
          <w:rFonts w:ascii="Times New Roman" w:hAnsi="Times New Roman"/>
          <w:spacing w:val="-2"/>
          <w:lang w:val="en-US"/>
        </w:rPr>
        <w:t xml:space="preserve"> tham mưu</w:t>
      </w:r>
      <w:r w:rsidR="00357449" w:rsidRPr="00FD1023">
        <w:rPr>
          <w:rFonts w:ascii="Times New Roman" w:hAnsi="Times New Roman"/>
          <w:spacing w:val="-2"/>
          <w:lang w:val="en-US"/>
        </w:rPr>
        <w:t xml:space="preserve"> Chính phủ, Thủ tướng Chính phủ chỉ đạo</w:t>
      </w:r>
      <w:r w:rsidR="0022181F" w:rsidRPr="00FD1023">
        <w:rPr>
          <w:rFonts w:ascii="Times New Roman" w:hAnsi="Times New Roman"/>
          <w:spacing w:val="-2"/>
          <w:lang w:val="en-US"/>
        </w:rPr>
        <w:t xml:space="preserve"> công tác này</w:t>
      </w:r>
      <w:r w:rsidR="00357449" w:rsidRPr="00FD1023">
        <w:rPr>
          <w:rFonts w:ascii="Times New Roman" w:hAnsi="Times New Roman"/>
          <w:spacing w:val="-2"/>
          <w:lang w:val="en-US"/>
        </w:rPr>
        <w:t xml:space="preserve"> tại các Nghị quyết phiên họp Chính phủ thường kỳ h</w:t>
      </w:r>
      <w:r w:rsidR="00D0369C" w:rsidRPr="00FD1023">
        <w:rPr>
          <w:rFonts w:ascii="Times New Roman" w:hAnsi="Times New Roman"/>
          <w:spacing w:val="-2"/>
          <w:lang w:val="en-US"/>
        </w:rPr>
        <w:t>ằ</w:t>
      </w:r>
      <w:r w:rsidR="00357449" w:rsidRPr="00FD1023">
        <w:rPr>
          <w:rFonts w:ascii="Times New Roman" w:hAnsi="Times New Roman"/>
          <w:spacing w:val="-2"/>
          <w:lang w:val="en-US"/>
        </w:rPr>
        <w:t xml:space="preserve">ng tháng và </w:t>
      </w:r>
      <w:r w:rsidR="00472BD6" w:rsidRPr="00FD1023">
        <w:rPr>
          <w:rFonts w:ascii="Times New Roman" w:hAnsi="Times New Roman"/>
          <w:spacing w:val="-2"/>
          <w:lang w:val="en-US"/>
        </w:rPr>
        <w:t>nhiều</w:t>
      </w:r>
      <w:r w:rsidR="00357449" w:rsidRPr="00FD1023">
        <w:rPr>
          <w:rFonts w:ascii="Times New Roman" w:hAnsi="Times New Roman"/>
          <w:spacing w:val="-2"/>
          <w:lang w:val="en-US"/>
        </w:rPr>
        <w:t xml:space="preserve"> </w:t>
      </w:r>
      <w:r w:rsidRPr="00FD1023">
        <w:rPr>
          <w:rFonts w:ascii="Times New Roman" w:hAnsi="Times New Roman"/>
          <w:spacing w:val="-2"/>
          <w:lang w:val="en-US"/>
        </w:rPr>
        <w:t>văn bản chỉ đ</w:t>
      </w:r>
      <w:r w:rsidR="00357449" w:rsidRPr="00FD1023">
        <w:rPr>
          <w:rFonts w:ascii="Times New Roman" w:hAnsi="Times New Roman"/>
          <w:spacing w:val="-2"/>
          <w:lang w:val="en-US"/>
        </w:rPr>
        <w:t>ạo</w:t>
      </w:r>
      <w:r w:rsidRPr="00FD1023">
        <w:rPr>
          <w:rFonts w:ascii="Times New Roman" w:hAnsi="Times New Roman"/>
          <w:spacing w:val="-2"/>
          <w:lang w:val="en-US"/>
        </w:rPr>
        <w:t>, đôn đốc</w:t>
      </w:r>
      <w:r w:rsidR="007C34C9" w:rsidRPr="00FD1023">
        <w:rPr>
          <w:rFonts w:ascii="Times New Roman" w:hAnsi="Times New Roman"/>
          <w:spacing w:val="-2"/>
          <w:lang w:val="en-US"/>
        </w:rPr>
        <w:t xml:space="preserve"> </w:t>
      </w:r>
      <w:r w:rsidR="00907C85" w:rsidRPr="00FD1023">
        <w:rPr>
          <w:rFonts w:ascii="Times New Roman" w:hAnsi="Times New Roman"/>
          <w:spacing w:val="-2"/>
          <w:lang w:val="en-US"/>
        </w:rPr>
        <w:t xml:space="preserve">các </w:t>
      </w:r>
      <w:r w:rsidRPr="00FD1023">
        <w:rPr>
          <w:rFonts w:ascii="Times New Roman" w:hAnsi="Times New Roman"/>
          <w:spacing w:val="-2"/>
          <w:lang w:val="en-US"/>
        </w:rPr>
        <w:t xml:space="preserve">bộ, ngành, địa phương tập trung thực hiện. Đồng thời, </w:t>
      </w:r>
      <w:r w:rsidR="00357449" w:rsidRPr="00FD1023">
        <w:rPr>
          <w:rFonts w:ascii="Times New Roman" w:hAnsi="Times New Roman"/>
          <w:spacing w:val="-2"/>
          <w:lang w:val="en-US"/>
        </w:rPr>
        <w:t xml:space="preserve">đã </w:t>
      </w:r>
      <w:r w:rsidRPr="00FD1023">
        <w:rPr>
          <w:rFonts w:ascii="Times New Roman" w:hAnsi="Times New Roman"/>
          <w:spacing w:val="-2"/>
          <w:lang w:val="en-US"/>
        </w:rPr>
        <w:t xml:space="preserve">ban hành Thông tư </w:t>
      </w:r>
      <w:r w:rsidR="00833F16" w:rsidRPr="00FD1023">
        <w:rPr>
          <w:rFonts w:ascii="Times New Roman" w:eastAsiaTheme="minorHAnsi" w:hAnsi="Times New Roman"/>
          <w:bCs/>
          <w:spacing w:val="-2"/>
          <w:lang w:val="en-US"/>
        </w:rPr>
        <w:t>quy định một số nội dung và biện pháp thi hành trong số hóa hồ sơ, kết quả giải quyết TTHC và thực hiện TTHC trên môi trường điện tử</w:t>
      </w:r>
      <w:r w:rsidR="00472BD6" w:rsidRPr="00FD1023">
        <w:rPr>
          <w:rStyle w:val="FootnoteReference"/>
          <w:rFonts w:ascii="Times New Roman" w:eastAsiaTheme="minorHAnsi" w:hAnsi="Times New Roman"/>
          <w:b/>
          <w:bCs/>
          <w:spacing w:val="-2"/>
          <w:lang w:val="en-US"/>
        </w:rPr>
        <w:footnoteReference w:id="12"/>
      </w:r>
      <w:r w:rsidR="00833F16" w:rsidRPr="00FD1023">
        <w:rPr>
          <w:rFonts w:ascii="Times New Roman" w:eastAsiaTheme="minorHAnsi" w:hAnsi="Times New Roman"/>
          <w:b/>
          <w:bCs/>
          <w:spacing w:val="-2"/>
          <w:lang w:val="en-US"/>
        </w:rPr>
        <w:t xml:space="preserve"> </w:t>
      </w:r>
      <w:r w:rsidR="00833F16" w:rsidRPr="00FD1023">
        <w:rPr>
          <w:rFonts w:ascii="Times New Roman" w:eastAsiaTheme="minorHAnsi" w:hAnsi="Times New Roman"/>
          <w:bCs/>
          <w:spacing w:val="-2"/>
          <w:lang w:val="en-US"/>
        </w:rPr>
        <w:t xml:space="preserve">làm </w:t>
      </w:r>
      <w:r w:rsidR="00357449" w:rsidRPr="00FD1023">
        <w:rPr>
          <w:rFonts w:ascii="Times New Roman" w:eastAsiaTheme="minorHAnsi" w:hAnsi="Times New Roman"/>
          <w:bCs/>
          <w:spacing w:val="-2"/>
          <w:lang w:val="en-US"/>
        </w:rPr>
        <w:t>c</w:t>
      </w:r>
      <w:r w:rsidR="00833F16" w:rsidRPr="00FD1023">
        <w:rPr>
          <w:rFonts w:ascii="Times New Roman" w:eastAsiaTheme="minorHAnsi" w:hAnsi="Times New Roman"/>
          <w:bCs/>
          <w:spacing w:val="-2"/>
          <w:lang w:val="en-US"/>
        </w:rPr>
        <w:t>ơ sở để các bộ, ngành, địa phương triển khai thực hiện</w:t>
      </w:r>
      <w:r w:rsidR="00357449" w:rsidRPr="00FD1023">
        <w:rPr>
          <w:rFonts w:ascii="Times New Roman" w:eastAsiaTheme="minorHAnsi" w:hAnsi="Times New Roman"/>
          <w:bCs/>
          <w:spacing w:val="-2"/>
          <w:lang w:val="en-US"/>
        </w:rPr>
        <w:t xml:space="preserve"> đồng bộ, thống nhất.</w:t>
      </w:r>
      <w:r w:rsidR="007C34C9" w:rsidRPr="00FD1023">
        <w:rPr>
          <w:rFonts w:ascii="Times New Roman" w:eastAsiaTheme="minorHAnsi" w:hAnsi="Times New Roman"/>
          <w:bCs/>
          <w:spacing w:val="-2"/>
          <w:lang w:val="en-US"/>
        </w:rPr>
        <w:t xml:space="preserve"> </w:t>
      </w:r>
      <w:r w:rsidR="007C34C9" w:rsidRPr="00FD1023">
        <w:rPr>
          <w:rFonts w:ascii="Times New Roman" w:hAnsi="Times New Roman"/>
          <w:bCs/>
          <w:iCs/>
          <w:szCs w:val="28"/>
          <w:lang w:val="en-US"/>
        </w:rPr>
        <w:t xml:space="preserve">Bên cạnh đó, thường xuyên </w:t>
      </w:r>
      <w:r w:rsidR="0022181F" w:rsidRPr="00FD1023">
        <w:rPr>
          <w:rFonts w:ascii="Times New Roman" w:hAnsi="Times New Roman"/>
          <w:bCs/>
          <w:iCs/>
          <w:szCs w:val="28"/>
          <w:lang w:val="en-US"/>
        </w:rPr>
        <w:t xml:space="preserve">đôn đốc, </w:t>
      </w:r>
      <w:r w:rsidR="007C34C9" w:rsidRPr="00FD1023">
        <w:rPr>
          <w:rFonts w:ascii="Times New Roman" w:hAnsi="Times New Roman"/>
          <w:bCs/>
          <w:iCs/>
          <w:szCs w:val="28"/>
          <w:lang w:val="en-US"/>
        </w:rPr>
        <w:t>hướng dẫn</w:t>
      </w:r>
      <w:r w:rsidR="007229A0" w:rsidRPr="00FD1023">
        <w:rPr>
          <w:rFonts w:ascii="Times New Roman" w:hAnsi="Times New Roman"/>
          <w:bCs/>
          <w:iCs/>
          <w:szCs w:val="28"/>
          <w:lang w:val="en-US"/>
        </w:rPr>
        <w:t xml:space="preserve"> </w:t>
      </w:r>
      <w:r w:rsidR="007C34C9" w:rsidRPr="00FD1023">
        <w:rPr>
          <w:rFonts w:ascii="Times New Roman" w:hAnsi="Times New Roman"/>
          <w:bCs/>
          <w:iCs/>
          <w:szCs w:val="28"/>
          <w:lang w:val="en-US"/>
        </w:rPr>
        <w:t xml:space="preserve">các bộ, ngành, địa phương trong thực hiện các nhiệm vụ được giao cũng như kịp thời tháo gỡ khó khăn, vướng mắc và trả lời </w:t>
      </w:r>
      <w:r w:rsidR="0022181F" w:rsidRPr="00FD1023">
        <w:rPr>
          <w:rFonts w:ascii="Times New Roman" w:hAnsi="Times New Roman"/>
          <w:bCs/>
          <w:iCs/>
          <w:szCs w:val="28"/>
          <w:lang w:val="en-US"/>
        </w:rPr>
        <w:t xml:space="preserve">theo thẩm quyền </w:t>
      </w:r>
      <w:r w:rsidR="007C34C9" w:rsidRPr="00FD1023">
        <w:rPr>
          <w:rFonts w:ascii="Times New Roman" w:hAnsi="Times New Roman"/>
          <w:szCs w:val="28"/>
        </w:rPr>
        <w:t>đề xuất, kiến nghị của các bộ, ngành, địa phương</w:t>
      </w:r>
      <w:r w:rsidR="007229A0" w:rsidRPr="00FD1023">
        <w:rPr>
          <w:rFonts w:ascii="Times New Roman" w:hAnsi="Times New Roman"/>
          <w:szCs w:val="28"/>
        </w:rPr>
        <w:t>.</w:t>
      </w:r>
    </w:p>
    <w:p w14:paraId="689B73C2" w14:textId="08ECA0AE" w:rsidR="00E412C4" w:rsidRPr="00FD1023" w:rsidRDefault="00F42EE2" w:rsidP="007D080B">
      <w:pPr>
        <w:autoSpaceDE w:val="0"/>
        <w:autoSpaceDN w:val="0"/>
        <w:adjustRightInd w:val="0"/>
        <w:spacing w:after="100"/>
        <w:ind w:firstLine="709"/>
        <w:jc w:val="both"/>
        <w:rPr>
          <w:lang w:val="en-US"/>
        </w:rPr>
      </w:pPr>
      <w:r w:rsidRPr="00FD1023">
        <w:rPr>
          <w:lang w:val="en-US"/>
        </w:rPr>
        <w:t>Trên cơ sở chỉ đạo của Chính phủ, Thủ tướng Chính phủ, Bộ trưởng, Thủ trưởng cơ quan ngang bộ, cơ quan thuộc Chính phủ và Chủ tịch Ủy ban nhân dân các tỉnh, thành phố trực thuộc trung ương đã ban hành các văn bản chỉ đạo, điều hành</w:t>
      </w:r>
      <w:r w:rsidR="00833F16" w:rsidRPr="00FD1023">
        <w:rPr>
          <w:lang w:val="en-US"/>
        </w:rPr>
        <w:t xml:space="preserve">, </w:t>
      </w:r>
      <w:r w:rsidR="00F30BD5" w:rsidRPr="00FD1023">
        <w:rPr>
          <w:lang w:val="en-US"/>
        </w:rPr>
        <w:t>chương trình, k</w:t>
      </w:r>
      <w:r w:rsidR="00833F16" w:rsidRPr="00FD1023">
        <w:rPr>
          <w:lang w:val="en-US"/>
        </w:rPr>
        <w:t xml:space="preserve">ế hoạch </w:t>
      </w:r>
      <w:r w:rsidRPr="00FD1023">
        <w:rPr>
          <w:lang w:val="en-US"/>
        </w:rPr>
        <w:t xml:space="preserve">để tổ chức triển khai </w:t>
      </w:r>
      <w:r w:rsidR="00357449" w:rsidRPr="00FD1023">
        <w:rPr>
          <w:lang w:val="en-US"/>
        </w:rPr>
        <w:t xml:space="preserve">đồng bộ, hiệu quả </w:t>
      </w:r>
      <w:r w:rsidRPr="00FD1023">
        <w:rPr>
          <w:lang w:val="en-US"/>
        </w:rPr>
        <w:t xml:space="preserve">công tác cải </w:t>
      </w:r>
      <w:r w:rsidRPr="00FD1023">
        <w:rPr>
          <w:lang w:val="en-US"/>
        </w:rPr>
        <w:lastRenderedPageBreak/>
        <w:t>cách TTHC tại bộ, ngành, địa phương</w:t>
      </w:r>
      <w:r w:rsidR="00357449" w:rsidRPr="00FD1023">
        <w:rPr>
          <w:lang w:val="en-US"/>
        </w:rPr>
        <w:t xml:space="preserve">, hoàn thành </w:t>
      </w:r>
      <w:r w:rsidR="00F30BD5" w:rsidRPr="00FD1023">
        <w:t xml:space="preserve">các nhiệm vụ, </w:t>
      </w:r>
      <w:r w:rsidR="00357449" w:rsidRPr="00FD1023">
        <w:rPr>
          <w:lang w:val="en-US"/>
        </w:rPr>
        <w:t>chỉ tiêu Chính phủ, Thủ tướng Chính phủ giao.</w:t>
      </w:r>
    </w:p>
    <w:bookmarkEnd w:id="1"/>
    <w:p w14:paraId="5D821752" w14:textId="639F2EF6" w:rsidR="00FB31F9" w:rsidRPr="00FD1023" w:rsidRDefault="00304EF9" w:rsidP="007D080B">
      <w:pPr>
        <w:widowControl w:val="0"/>
        <w:spacing w:after="100"/>
        <w:ind w:firstLine="709"/>
        <w:jc w:val="both"/>
        <w:rPr>
          <w:b/>
        </w:rPr>
      </w:pPr>
      <w:r w:rsidRPr="00FD1023">
        <w:rPr>
          <w:b/>
        </w:rPr>
        <w:t>2</w:t>
      </w:r>
      <w:r w:rsidR="000C1F78" w:rsidRPr="00FD1023">
        <w:rPr>
          <w:b/>
        </w:rPr>
        <w:t xml:space="preserve">. </w:t>
      </w:r>
      <w:r w:rsidR="00FB31F9" w:rsidRPr="00FD1023">
        <w:rPr>
          <w:b/>
        </w:rPr>
        <w:t>Về kết quả cải cách thủ tục hành chính</w:t>
      </w:r>
    </w:p>
    <w:p w14:paraId="1EE233D4" w14:textId="625B3B1C" w:rsidR="000C1F78" w:rsidRPr="00FD1023" w:rsidRDefault="00FB31F9" w:rsidP="007D080B">
      <w:pPr>
        <w:widowControl w:val="0"/>
        <w:spacing w:after="100"/>
        <w:ind w:firstLine="709"/>
        <w:jc w:val="both"/>
        <w:rPr>
          <w:b/>
          <w:i/>
        </w:rPr>
      </w:pPr>
      <w:r w:rsidRPr="00FD1023">
        <w:rPr>
          <w:b/>
          <w:i/>
        </w:rPr>
        <w:t xml:space="preserve">a) </w:t>
      </w:r>
      <w:r w:rsidR="008B5D86" w:rsidRPr="00FD1023">
        <w:rPr>
          <w:b/>
          <w:i/>
        </w:rPr>
        <w:t>Về</w:t>
      </w:r>
      <w:r w:rsidR="000C1F78" w:rsidRPr="00FD1023">
        <w:rPr>
          <w:b/>
          <w:i/>
        </w:rPr>
        <w:t xml:space="preserve"> </w:t>
      </w:r>
      <w:r w:rsidR="00A47560" w:rsidRPr="00FD1023">
        <w:rPr>
          <w:b/>
          <w:i/>
        </w:rPr>
        <w:t>kiểm soát</w:t>
      </w:r>
      <w:r w:rsidR="00FE01C0">
        <w:rPr>
          <w:b/>
          <w:i/>
        </w:rPr>
        <w:t>, cắt giảm</w:t>
      </w:r>
      <w:r w:rsidR="00A47560" w:rsidRPr="00FD1023">
        <w:rPr>
          <w:b/>
          <w:i/>
        </w:rPr>
        <w:t xml:space="preserve"> </w:t>
      </w:r>
      <w:r w:rsidR="00FE01C0">
        <w:rPr>
          <w:b/>
          <w:i/>
        </w:rPr>
        <w:t>các</w:t>
      </w:r>
      <w:r w:rsidR="000C1F78" w:rsidRPr="00FD1023">
        <w:rPr>
          <w:b/>
          <w:i/>
        </w:rPr>
        <w:t xml:space="preserve"> TTHC trong dự thảo </w:t>
      </w:r>
      <w:r w:rsidR="00125D81" w:rsidRPr="00FD1023">
        <w:rPr>
          <w:b/>
          <w:i/>
        </w:rPr>
        <w:t>văn bản quy phạm pháp luật (</w:t>
      </w:r>
      <w:r w:rsidR="00232217" w:rsidRPr="00FD1023">
        <w:rPr>
          <w:b/>
          <w:i/>
        </w:rPr>
        <w:t>VB</w:t>
      </w:r>
      <w:r w:rsidR="000C1F78" w:rsidRPr="00FD1023">
        <w:rPr>
          <w:b/>
          <w:i/>
        </w:rPr>
        <w:t>QPPL</w:t>
      </w:r>
      <w:r w:rsidR="00125D81" w:rsidRPr="00FD1023">
        <w:rPr>
          <w:b/>
          <w:i/>
        </w:rPr>
        <w:t>)</w:t>
      </w:r>
      <w:r w:rsidR="000C1F78" w:rsidRPr="00FD1023">
        <w:rPr>
          <w:b/>
          <w:i/>
        </w:rPr>
        <w:t xml:space="preserve"> </w:t>
      </w:r>
    </w:p>
    <w:p w14:paraId="4A521B92" w14:textId="62606006" w:rsidR="00D81D15" w:rsidRPr="00FD1023" w:rsidRDefault="00C16FE9" w:rsidP="007D080B">
      <w:pPr>
        <w:shd w:val="clear" w:color="auto" w:fill="FFFFFF"/>
        <w:spacing w:after="100"/>
        <w:ind w:firstLine="720"/>
        <w:jc w:val="both"/>
        <w:rPr>
          <w:i/>
        </w:rPr>
      </w:pPr>
      <w:r w:rsidRPr="00FD1023">
        <w:t xml:space="preserve">Trong </w:t>
      </w:r>
      <w:r w:rsidR="008B5D86" w:rsidRPr="00FD1023">
        <w:t>năm</w:t>
      </w:r>
      <w:r w:rsidRPr="00FD1023">
        <w:t>, c</w:t>
      </w:r>
      <w:r w:rsidR="00DF10DC" w:rsidRPr="00FD1023">
        <w:t xml:space="preserve">ác bộ, ngành, địa phương đã đánh giá tác động </w:t>
      </w:r>
      <w:r w:rsidR="00125D81" w:rsidRPr="00FD1023">
        <w:rPr>
          <w:b/>
        </w:rPr>
        <w:t>1.199</w:t>
      </w:r>
      <w:r w:rsidR="00DF10DC" w:rsidRPr="00FD1023">
        <w:t xml:space="preserve"> TTHC tại </w:t>
      </w:r>
      <w:r w:rsidR="00125D81" w:rsidRPr="00FD1023">
        <w:rPr>
          <w:b/>
        </w:rPr>
        <w:t>178</w:t>
      </w:r>
      <w:r w:rsidR="004458DF" w:rsidRPr="00FD1023">
        <w:t xml:space="preserve"> </w:t>
      </w:r>
      <w:r w:rsidR="00DF10DC" w:rsidRPr="00FD1023">
        <w:t xml:space="preserve">dự thảo </w:t>
      </w:r>
      <w:r w:rsidR="00232217" w:rsidRPr="00FD1023">
        <w:t>VB</w:t>
      </w:r>
      <w:r w:rsidR="00DF10DC" w:rsidRPr="00FD1023">
        <w:t>QPPL</w:t>
      </w:r>
      <w:r w:rsidR="00D477FD" w:rsidRPr="00FD1023">
        <w:rPr>
          <w:rStyle w:val="FootnoteReference"/>
          <w:b/>
        </w:rPr>
        <w:footnoteReference w:id="13"/>
      </w:r>
      <w:r w:rsidR="008B5D86" w:rsidRPr="00FD1023">
        <w:t>.</w:t>
      </w:r>
      <w:r w:rsidR="007C26D9" w:rsidRPr="00FD1023">
        <w:t xml:space="preserve"> Văn phòng Chính phủ</w:t>
      </w:r>
      <w:r w:rsidR="0088393C" w:rsidRPr="00FD1023">
        <w:t xml:space="preserve"> </w:t>
      </w:r>
      <w:r w:rsidR="00220E99" w:rsidRPr="00FD1023">
        <w:t xml:space="preserve">đã thẩm tra </w:t>
      </w:r>
      <w:r w:rsidR="00136D41" w:rsidRPr="00FD1023">
        <w:t xml:space="preserve">đối với </w:t>
      </w:r>
      <w:r w:rsidR="00125D81" w:rsidRPr="00FD1023">
        <w:rPr>
          <w:b/>
        </w:rPr>
        <w:t>810</w:t>
      </w:r>
      <w:r w:rsidR="00697838" w:rsidRPr="00FD1023">
        <w:t xml:space="preserve"> </w:t>
      </w:r>
      <w:r w:rsidR="00220E99" w:rsidRPr="00FD1023">
        <w:t>TTHC</w:t>
      </w:r>
      <w:r w:rsidR="00125D81" w:rsidRPr="00FD1023">
        <w:t xml:space="preserve"> và </w:t>
      </w:r>
      <w:r w:rsidR="00125D81" w:rsidRPr="00FD1023">
        <w:rPr>
          <w:b/>
        </w:rPr>
        <w:t>331</w:t>
      </w:r>
      <w:r w:rsidR="00220E99" w:rsidRPr="00FD1023">
        <w:t xml:space="preserve"> </w:t>
      </w:r>
      <w:r w:rsidR="001E5D62" w:rsidRPr="00FD1023">
        <w:t>quy định kinh doanh (</w:t>
      </w:r>
      <w:r w:rsidR="00220E99" w:rsidRPr="00FD1023">
        <w:t>QĐKD</w:t>
      </w:r>
      <w:r w:rsidR="001E5D62" w:rsidRPr="00FD1023">
        <w:t>)</w:t>
      </w:r>
      <w:r w:rsidR="00220E99" w:rsidRPr="00FD1023">
        <w:t xml:space="preserve"> tại </w:t>
      </w:r>
      <w:r w:rsidR="00125D81" w:rsidRPr="00FD1023">
        <w:rPr>
          <w:b/>
        </w:rPr>
        <w:t>75</w:t>
      </w:r>
      <w:r w:rsidR="00697838" w:rsidRPr="00FD1023">
        <w:t xml:space="preserve"> </w:t>
      </w:r>
      <w:r w:rsidR="00220E99" w:rsidRPr="00FD1023">
        <w:t>dự thảo VBQPPL, trong đó đã đề nghị không quy định</w:t>
      </w:r>
      <w:r w:rsidR="001E5D62" w:rsidRPr="00FD1023">
        <w:t xml:space="preserve">: </w:t>
      </w:r>
      <w:r w:rsidR="00A47560" w:rsidRPr="00FD1023">
        <w:rPr>
          <w:b/>
        </w:rPr>
        <w:t>91</w:t>
      </w:r>
      <w:r w:rsidR="00697838" w:rsidRPr="00FD1023">
        <w:t xml:space="preserve"> </w:t>
      </w:r>
      <w:r w:rsidR="00220E99" w:rsidRPr="00FD1023">
        <w:t>TTHC</w:t>
      </w:r>
      <w:r w:rsidR="001E5D62" w:rsidRPr="00FD1023">
        <w:t>,</w:t>
      </w:r>
      <w:r w:rsidR="00125D81" w:rsidRPr="00FD1023">
        <w:t xml:space="preserve"> </w:t>
      </w:r>
      <w:r w:rsidR="00220E99" w:rsidRPr="00FD1023">
        <w:t>QĐKD, sửa đổi, bổ sung</w:t>
      </w:r>
      <w:r w:rsidR="001E5D62" w:rsidRPr="00FD1023">
        <w:t>:</w:t>
      </w:r>
      <w:r w:rsidR="00220E99" w:rsidRPr="00FD1023">
        <w:t xml:space="preserve"> </w:t>
      </w:r>
      <w:r w:rsidR="00A47560" w:rsidRPr="00FD1023">
        <w:rPr>
          <w:b/>
        </w:rPr>
        <w:t>6</w:t>
      </w:r>
      <w:r w:rsidR="00125D81" w:rsidRPr="00FD1023">
        <w:rPr>
          <w:b/>
        </w:rPr>
        <w:t>2</w:t>
      </w:r>
      <w:r w:rsidR="00A47560" w:rsidRPr="00FD1023">
        <w:rPr>
          <w:b/>
        </w:rPr>
        <w:t>5</w:t>
      </w:r>
      <w:r w:rsidR="00697838" w:rsidRPr="00FD1023">
        <w:t xml:space="preserve"> </w:t>
      </w:r>
      <w:r w:rsidR="00220E99" w:rsidRPr="00FD1023">
        <w:t>TTHC</w:t>
      </w:r>
      <w:r w:rsidR="001E5D62" w:rsidRPr="00FD1023">
        <w:t>,</w:t>
      </w:r>
      <w:r w:rsidR="00125D81" w:rsidRPr="00FD1023">
        <w:t xml:space="preserve"> </w:t>
      </w:r>
      <w:r w:rsidR="00220E99" w:rsidRPr="00FD1023">
        <w:t>QĐKD</w:t>
      </w:r>
      <w:r w:rsidR="0009487D" w:rsidRPr="00FD1023">
        <w:t xml:space="preserve"> </w:t>
      </w:r>
      <w:r w:rsidR="0009487D" w:rsidRPr="00FD1023">
        <w:rPr>
          <w:i/>
        </w:rPr>
        <w:t>(</w:t>
      </w:r>
      <w:r w:rsidR="001E5D62" w:rsidRPr="00FD1023">
        <w:rPr>
          <w:i/>
        </w:rPr>
        <w:t>chiếm</w:t>
      </w:r>
      <w:r w:rsidR="001E5D62" w:rsidRPr="00FD1023">
        <w:t xml:space="preserve"> 62,75% </w:t>
      </w:r>
      <w:r w:rsidR="00125D81" w:rsidRPr="00FD1023">
        <w:rPr>
          <w:i/>
        </w:rPr>
        <w:t>716</w:t>
      </w:r>
      <w:r w:rsidR="0009487D" w:rsidRPr="00FD1023">
        <w:rPr>
          <w:i/>
        </w:rPr>
        <w:t>/</w:t>
      </w:r>
      <w:r w:rsidR="00125D81" w:rsidRPr="00FD1023">
        <w:rPr>
          <w:i/>
        </w:rPr>
        <w:t>1.141 TTHC, QĐKD</w:t>
      </w:r>
      <w:r w:rsidR="0009487D" w:rsidRPr="00FD1023">
        <w:t>)</w:t>
      </w:r>
      <w:r w:rsidR="00795A5C" w:rsidRPr="00FD1023">
        <w:t>.</w:t>
      </w:r>
      <w:r w:rsidR="00EA64E8" w:rsidRPr="00FD1023">
        <w:rPr>
          <w:i/>
        </w:rPr>
        <w:t xml:space="preserve"> </w:t>
      </w:r>
    </w:p>
    <w:p w14:paraId="14D0B838" w14:textId="1BFAF314" w:rsidR="00FC3AE9" w:rsidRPr="00FD1023" w:rsidRDefault="00D0369C" w:rsidP="007D080B">
      <w:pPr>
        <w:shd w:val="clear" w:color="auto" w:fill="FFFFFF"/>
        <w:spacing w:after="100"/>
        <w:ind w:firstLine="720"/>
        <w:jc w:val="both"/>
        <w:rPr>
          <w:iCs/>
        </w:rPr>
      </w:pPr>
      <w:r w:rsidRPr="00FD1023">
        <w:rPr>
          <w:iCs/>
        </w:rPr>
        <w:t>C</w:t>
      </w:r>
      <w:r w:rsidR="00FC3AE9" w:rsidRPr="00FD1023">
        <w:rPr>
          <w:iCs/>
        </w:rPr>
        <w:t xml:space="preserve">ác bộ, ngành </w:t>
      </w:r>
      <w:r w:rsidR="00F30BD5" w:rsidRPr="00FD1023">
        <w:rPr>
          <w:iCs/>
        </w:rPr>
        <w:t xml:space="preserve">đã trình cấp có thẩm quyền </w:t>
      </w:r>
      <w:r w:rsidR="00FC3AE9" w:rsidRPr="00FD1023">
        <w:rPr>
          <w:iCs/>
        </w:rPr>
        <w:t xml:space="preserve">ban hành mới </w:t>
      </w:r>
      <w:r w:rsidR="00FC3AE9" w:rsidRPr="00FD1023">
        <w:rPr>
          <w:b/>
          <w:iCs/>
        </w:rPr>
        <w:t>303</w:t>
      </w:r>
      <w:r w:rsidR="00FC3AE9" w:rsidRPr="00FD1023">
        <w:rPr>
          <w:iCs/>
        </w:rPr>
        <w:t xml:space="preserve"> TTHC. Tính đến nay, trên Cơ sở dữ liệu quốc gia về TTHC, tổng số TTHC thuộc thẩm quyền giải quyết của các bộ, ngành là </w:t>
      </w:r>
      <w:r w:rsidR="00FC3AE9" w:rsidRPr="00FD1023">
        <w:rPr>
          <w:b/>
          <w:iCs/>
        </w:rPr>
        <w:t>3.831</w:t>
      </w:r>
      <w:r w:rsidR="00FC3AE9" w:rsidRPr="00FD1023">
        <w:rPr>
          <w:iCs/>
        </w:rPr>
        <w:t xml:space="preserve"> TTHC </w:t>
      </w:r>
      <w:r w:rsidR="00B81C77" w:rsidRPr="00FD1023">
        <w:rPr>
          <w:iCs/>
        </w:rPr>
        <w:t xml:space="preserve">(trong đó, Bộ Tài chính có số TTHC nhiều nhất là </w:t>
      </w:r>
      <w:r w:rsidR="00B81C77" w:rsidRPr="00FD1023">
        <w:rPr>
          <w:b/>
          <w:iCs/>
        </w:rPr>
        <w:t>773</w:t>
      </w:r>
      <w:r w:rsidR="00B81C77" w:rsidRPr="00FD1023">
        <w:rPr>
          <w:iCs/>
        </w:rPr>
        <w:t xml:space="preserve"> TTHC; Ủy ban </w:t>
      </w:r>
      <w:r w:rsidR="002551F2" w:rsidRPr="00FD1023">
        <w:rPr>
          <w:iCs/>
        </w:rPr>
        <w:t>D</w:t>
      </w:r>
      <w:r w:rsidR="00B81C77" w:rsidRPr="00FD1023">
        <w:rPr>
          <w:iCs/>
        </w:rPr>
        <w:t>ân tộc có số TTHC ít nhất là 04 TTHC</w:t>
      </w:r>
      <w:r w:rsidR="00304A19" w:rsidRPr="00FD1023">
        <w:rPr>
          <w:iCs/>
        </w:rPr>
        <w:t>)</w:t>
      </w:r>
      <w:r w:rsidR="00B81C77" w:rsidRPr="00FD1023">
        <w:rPr>
          <w:iCs/>
        </w:rPr>
        <w:t xml:space="preserve">; </w:t>
      </w:r>
      <w:r w:rsidR="00AA3C39">
        <w:rPr>
          <w:iCs/>
        </w:rPr>
        <w:br/>
      </w:r>
      <w:r w:rsidR="00B81C77" w:rsidRPr="00FD1023">
        <w:rPr>
          <w:iCs/>
        </w:rPr>
        <w:t xml:space="preserve">số TTHC thuộc thẩm quyền giải quyết của các địa phương là </w:t>
      </w:r>
      <w:r w:rsidR="00B81C77" w:rsidRPr="00FD1023">
        <w:rPr>
          <w:b/>
          <w:iCs/>
        </w:rPr>
        <w:t>1.336</w:t>
      </w:r>
      <w:r w:rsidR="00B81C77" w:rsidRPr="00FD1023">
        <w:rPr>
          <w:iCs/>
        </w:rPr>
        <w:t xml:space="preserve"> TTHC.</w:t>
      </w:r>
    </w:p>
    <w:p w14:paraId="105AE124" w14:textId="0676D4D7" w:rsidR="000C1F78" w:rsidRPr="00FD1023" w:rsidRDefault="00FB31F9" w:rsidP="007D080B">
      <w:pPr>
        <w:pStyle w:val="BodyTextIndent"/>
        <w:tabs>
          <w:tab w:val="left" w:pos="840"/>
        </w:tabs>
        <w:spacing w:after="100"/>
        <w:ind w:right="0" w:firstLine="709"/>
        <w:rPr>
          <w:rFonts w:ascii="Times New Roman" w:hAnsi="Times New Roman"/>
          <w:b/>
          <w:i/>
          <w:szCs w:val="28"/>
        </w:rPr>
      </w:pPr>
      <w:r w:rsidRPr="00FD1023">
        <w:rPr>
          <w:rFonts w:ascii="Times New Roman" w:hAnsi="Times New Roman"/>
          <w:b/>
          <w:i/>
          <w:szCs w:val="28"/>
        </w:rPr>
        <w:t>b)</w:t>
      </w:r>
      <w:r w:rsidR="000C1F78" w:rsidRPr="00FD1023">
        <w:rPr>
          <w:rFonts w:ascii="Times New Roman" w:hAnsi="Times New Roman"/>
          <w:b/>
          <w:i/>
          <w:szCs w:val="28"/>
        </w:rPr>
        <w:t xml:space="preserve"> </w:t>
      </w:r>
      <w:r w:rsidR="008B5D86" w:rsidRPr="00FD1023">
        <w:rPr>
          <w:rFonts w:ascii="Times New Roman" w:hAnsi="Times New Roman"/>
          <w:b/>
          <w:i/>
          <w:szCs w:val="28"/>
        </w:rPr>
        <w:t>Về</w:t>
      </w:r>
      <w:r w:rsidR="000C1F78" w:rsidRPr="00FD1023">
        <w:rPr>
          <w:rFonts w:ascii="Times New Roman" w:hAnsi="Times New Roman"/>
          <w:b/>
          <w:i/>
          <w:szCs w:val="28"/>
        </w:rPr>
        <w:t xml:space="preserve"> cắt giảm, đơn giản hóa quy định, TTHC</w:t>
      </w:r>
    </w:p>
    <w:p w14:paraId="097BD269" w14:textId="17CFE2FF" w:rsidR="00406769" w:rsidRPr="00FD1023" w:rsidRDefault="00BD7CD5" w:rsidP="007D080B">
      <w:pPr>
        <w:spacing w:after="100"/>
        <w:ind w:firstLine="720"/>
        <w:jc w:val="both"/>
        <w:rPr>
          <w:i/>
        </w:rPr>
      </w:pPr>
      <w:r w:rsidRPr="00FD1023">
        <w:rPr>
          <w:i/>
        </w:rPr>
        <w:t>(1)</w:t>
      </w:r>
      <w:r w:rsidR="00406769" w:rsidRPr="00FD1023">
        <w:rPr>
          <w:i/>
        </w:rPr>
        <w:t xml:space="preserve"> Kết quả cắt giảm, đơn giản hóa </w:t>
      </w:r>
      <w:r w:rsidR="00C920BA" w:rsidRPr="00FD1023">
        <w:rPr>
          <w:i/>
        </w:rPr>
        <w:t>QĐKD</w:t>
      </w:r>
      <w:r w:rsidR="00406769" w:rsidRPr="00FD1023">
        <w:rPr>
          <w:i/>
        </w:rPr>
        <w:t xml:space="preserve"> theo Nghị quyết số 68/NQ-CP ngày 12 tháng 5 năm 2020 của Chính phủ:</w:t>
      </w:r>
    </w:p>
    <w:p w14:paraId="6E43BFB0" w14:textId="7D9C23E7" w:rsidR="00406769" w:rsidRPr="00686F33" w:rsidRDefault="00FF71A9" w:rsidP="00686F33">
      <w:pPr>
        <w:spacing w:after="100"/>
        <w:ind w:firstLine="720"/>
        <w:jc w:val="both"/>
        <w:rPr>
          <w:spacing w:val="-4"/>
          <w:lang w:val="en-US"/>
        </w:rPr>
      </w:pPr>
      <w:r w:rsidRPr="00FD1023">
        <w:rPr>
          <w:spacing w:val="-4"/>
          <w:lang w:val="en-US"/>
        </w:rPr>
        <w:t xml:space="preserve">Trong năm, </w:t>
      </w:r>
      <w:r w:rsidRPr="00FD1023">
        <w:rPr>
          <w:spacing w:val="-4"/>
          <w:shd w:val="clear" w:color="auto" w:fill="FFFFFF"/>
        </w:rPr>
        <w:t xml:space="preserve">Thủ tướng Chính phủ đã phê duyệt phương án cắt giảm, đơn giản hóa </w:t>
      </w:r>
      <w:r w:rsidRPr="00FD1023">
        <w:rPr>
          <w:b/>
          <w:spacing w:val="-4"/>
          <w:shd w:val="clear" w:color="auto" w:fill="FFFFFF"/>
        </w:rPr>
        <w:t>144</w:t>
      </w:r>
      <w:r w:rsidRPr="00FD1023">
        <w:rPr>
          <w:spacing w:val="-4"/>
          <w:shd w:val="clear" w:color="auto" w:fill="FFFFFF"/>
        </w:rPr>
        <w:t xml:space="preserve"> QĐKD</w:t>
      </w:r>
      <w:r w:rsidRPr="001752C3">
        <w:rPr>
          <w:rStyle w:val="FootnoteReference"/>
          <w:b/>
          <w:spacing w:val="-4"/>
          <w:shd w:val="clear" w:color="auto" w:fill="FFFFFF"/>
        </w:rPr>
        <w:footnoteReference w:id="14"/>
      </w:r>
      <w:r w:rsidRPr="00FD1023">
        <w:rPr>
          <w:spacing w:val="-4"/>
          <w:shd w:val="clear" w:color="auto" w:fill="FFFFFF"/>
        </w:rPr>
        <w:t> thuộc phạm vi quản lý của 05 bộ, cơ quan (</w:t>
      </w:r>
      <w:r w:rsidRPr="00FD1023">
        <w:rPr>
          <w:i/>
          <w:iCs/>
          <w:spacing w:val="-4"/>
          <w:shd w:val="clear" w:color="auto" w:fill="FFFFFF"/>
        </w:rPr>
        <w:t>Công an,</w:t>
      </w:r>
      <w:r w:rsidRPr="00FD1023">
        <w:rPr>
          <w:spacing w:val="-4"/>
          <w:shd w:val="clear" w:color="auto" w:fill="FFFFFF"/>
        </w:rPr>
        <w:t> </w:t>
      </w:r>
      <w:r w:rsidRPr="00FD1023">
        <w:rPr>
          <w:i/>
          <w:iCs/>
          <w:spacing w:val="-4"/>
          <w:shd w:val="clear" w:color="auto" w:fill="FFFFFF"/>
        </w:rPr>
        <w:t>Quốc phòng, Khoa học và Công nghệ, Văn hóa, Thể thao và Du lịch, Ngân hàng Nhà nước Việt Nam</w:t>
      </w:r>
      <w:r w:rsidRPr="00FD1023">
        <w:rPr>
          <w:spacing w:val="-4"/>
          <w:shd w:val="clear" w:color="auto" w:fill="FFFFFF"/>
        </w:rPr>
        <w:t>)</w:t>
      </w:r>
      <w:r w:rsidR="00686F33">
        <w:rPr>
          <w:spacing w:val="-4"/>
          <w:shd w:val="clear" w:color="auto" w:fill="FFFFFF"/>
        </w:rPr>
        <w:t>,</w:t>
      </w:r>
      <w:r w:rsidRPr="00FD1023">
        <w:rPr>
          <w:spacing w:val="-4"/>
          <w:lang w:val="en-US"/>
        </w:rPr>
        <w:t xml:space="preserve"> </w:t>
      </w:r>
      <w:r w:rsidR="00686F33">
        <w:t>c</w:t>
      </w:r>
      <w:r w:rsidR="00686F33" w:rsidRPr="00FD1023">
        <w:rPr>
          <w:lang w:val="en-US"/>
        </w:rPr>
        <w:t>òn</w:t>
      </w:r>
      <w:r w:rsidR="00686F33" w:rsidRPr="00FD1023">
        <w:t xml:space="preserve"> 03 </w:t>
      </w:r>
      <w:r w:rsidR="00686F33">
        <w:t>b</w:t>
      </w:r>
      <w:r w:rsidR="00686F33" w:rsidRPr="00FD1023">
        <w:t xml:space="preserve">ộ </w:t>
      </w:r>
      <w:r w:rsidR="00686F33" w:rsidRPr="00020E7F">
        <w:rPr>
          <w:i/>
        </w:rPr>
        <w:t>(Công Thương, Tài chính, Tư pháp)</w:t>
      </w:r>
      <w:r w:rsidR="00686F33" w:rsidRPr="00FD1023">
        <w:t xml:space="preserve"> </w:t>
      </w:r>
      <w:r w:rsidR="00686F33">
        <w:t xml:space="preserve">đang </w:t>
      </w:r>
      <w:r w:rsidR="00FE01C0">
        <w:t xml:space="preserve">tiếp tục </w:t>
      </w:r>
      <w:r w:rsidR="00686F33">
        <w:t xml:space="preserve">hoàn thiện, </w:t>
      </w:r>
      <w:r w:rsidR="00686F33" w:rsidRPr="00FD1023">
        <w:t>trình Thủ tướng Chính phủ phê duyệt</w:t>
      </w:r>
      <w:r w:rsidR="00FE01C0">
        <w:t>.</w:t>
      </w:r>
      <w:r w:rsidR="00686F33">
        <w:t xml:space="preserve"> </w:t>
      </w:r>
      <w:r w:rsidR="00FE01C0">
        <w:t>C</w:t>
      </w:r>
      <w:r w:rsidRPr="00FD1023">
        <w:rPr>
          <w:spacing w:val="-4"/>
          <w:lang w:val="en-US"/>
        </w:rPr>
        <w:t xml:space="preserve">ác bộ, ngành đã thực hiện cắt giảm, đơn giản hóa </w:t>
      </w:r>
      <w:r w:rsidR="001752C3" w:rsidRPr="001752C3">
        <w:rPr>
          <w:b/>
          <w:spacing w:val="-4"/>
          <w:lang w:val="en-US"/>
        </w:rPr>
        <w:t>628</w:t>
      </w:r>
      <w:r w:rsidRPr="00FD1023">
        <w:rPr>
          <w:spacing w:val="-4"/>
          <w:lang w:val="en-US"/>
        </w:rPr>
        <w:t xml:space="preserve"> QĐKD</w:t>
      </w:r>
      <w:r w:rsidRPr="00A2757E">
        <w:rPr>
          <w:rStyle w:val="FootnoteReference"/>
          <w:b/>
          <w:spacing w:val="-4"/>
          <w:lang w:val="en-US"/>
        </w:rPr>
        <w:footnoteReference w:id="15"/>
      </w:r>
      <w:r w:rsidRPr="00FD1023">
        <w:rPr>
          <w:spacing w:val="-4"/>
          <w:lang w:val="en-US"/>
        </w:rPr>
        <w:t xml:space="preserve"> tại </w:t>
      </w:r>
      <w:r w:rsidR="001752C3" w:rsidRPr="001752C3">
        <w:rPr>
          <w:b/>
          <w:spacing w:val="-4"/>
          <w:lang w:val="en-US"/>
        </w:rPr>
        <w:t>5</w:t>
      </w:r>
      <w:r w:rsidRPr="00FD1023">
        <w:rPr>
          <w:b/>
          <w:spacing w:val="-4"/>
          <w:lang w:val="en-US"/>
        </w:rPr>
        <w:t xml:space="preserve">3 </w:t>
      </w:r>
      <w:r w:rsidRPr="00FD1023">
        <w:rPr>
          <w:spacing w:val="-4"/>
          <w:lang w:val="en-US"/>
        </w:rPr>
        <w:t xml:space="preserve">VBQPPL, nâng tổng số QĐKD được cắt giảm, đơn giản hóa từ năm 2021 đến nay là </w:t>
      </w:r>
      <w:r w:rsidRPr="00FD1023">
        <w:rPr>
          <w:b/>
          <w:spacing w:val="-4"/>
          <w:lang w:val="en-US"/>
        </w:rPr>
        <w:t>2.</w:t>
      </w:r>
      <w:r w:rsidR="001752C3">
        <w:rPr>
          <w:b/>
          <w:spacing w:val="-4"/>
          <w:lang w:val="en-US"/>
        </w:rPr>
        <w:t>770</w:t>
      </w:r>
      <w:r w:rsidRPr="00FD1023">
        <w:rPr>
          <w:spacing w:val="-4"/>
          <w:lang w:val="en-US"/>
        </w:rPr>
        <w:t xml:space="preserve"> QĐKD </w:t>
      </w:r>
      <w:r w:rsidR="003B4413" w:rsidRPr="00FD1023">
        <w:rPr>
          <w:spacing w:val="-4"/>
          <w:lang w:val="en-US"/>
        </w:rPr>
        <w:t xml:space="preserve">tại </w:t>
      </w:r>
      <w:r w:rsidR="003B4413" w:rsidRPr="001752C3">
        <w:rPr>
          <w:b/>
          <w:spacing w:val="-4"/>
          <w:lang w:val="en-US"/>
        </w:rPr>
        <w:t>2</w:t>
      </w:r>
      <w:r w:rsidR="001752C3" w:rsidRPr="001752C3">
        <w:rPr>
          <w:b/>
          <w:spacing w:val="-4"/>
          <w:lang w:val="en-US"/>
        </w:rPr>
        <w:t>24</w:t>
      </w:r>
      <w:r w:rsidR="003B4413" w:rsidRPr="00FD1023">
        <w:rPr>
          <w:spacing w:val="-4"/>
          <w:lang w:val="en-US"/>
        </w:rPr>
        <w:t xml:space="preserve"> VBQPPL</w:t>
      </w:r>
      <w:r w:rsidR="003B4413" w:rsidRPr="00FD1023">
        <w:rPr>
          <w:spacing w:val="-4"/>
        </w:rPr>
        <w:t xml:space="preserve"> trên</w:t>
      </w:r>
      <w:r w:rsidRPr="00FD1023">
        <w:rPr>
          <w:spacing w:val="-4"/>
        </w:rPr>
        <w:t xml:space="preserve"> tổng số </w:t>
      </w:r>
      <w:r w:rsidR="003B4413" w:rsidRPr="00FD1023">
        <w:rPr>
          <w:b/>
          <w:spacing w:val="-4"/>
        </w:rPr>
        <w:t>15.</w:t>
      </w:r>
      <w:r w:rsidR="001752C3">
        <w:rPr>
          <w:b/>
          <w:spacing w:val="-4"/>
        </w:rPr>
        <w:t>801</w:t>
      </w:r>
      <w:r w:rsidR="003B4413" w:rsidRPr="00FD1023">
        <w:rPr>
          <w:b/>
          <w:spacing w:val="-4"/>
        </w:rPr>
        <w:t xml:space="preserve"> </w:t>
      </w:r>
      <w:r w:rsidRPr="00FD1023">
        <w:rPr>
          <w:spacing w:val="-4"/>
        </w:rPr>
        <w:t>QĐKD được cập nhật, công khai trên Cổng Tham vấn và tra cứu quy định kinh doanh</w:t>
      </w:r>
      <w:r w:rsidR="003B4413" w:rsidRPr="00FD1023">
        <w:rPr>
          <w:spacing w:val="-4"/>
        </w:rPr>
        <w:t xml:space="preserve">, </w:t>
      </w:r>
      <w:r w:rsidR="003B4413" w:rsidRPr="00FD1023">
        <w:rPr>
          <w:spacing w:val="-4"/>
          <w:lang w:val="en-US"/>
        </w:rPr>
        <w:t>đạt</w:t>
      </w:r>
      <w:r w:rsidR="003B4413" w:rsidRPr="00FD1023">
        <w:rPr>
          <w:spacing w:val="-4"/>
        </w:rPr>
        <w:t xml:space="preserve"> </w:t>
      </w:r>
      <w:r w:rsidR="003B4413" w:rsidRPr="00FD1023">
        <w:rPr>
          <w:b/>
          <w:spacing w:val="-4"/>
        </w:rPr>
        <w:t>1</w:t>
      </w:r>
      <w:r w:rsidR="001752C3">
        <w:rPr>
          <w:b/>
          <w:spacing w:val="-4"/>
        </w:rPr>
        <w:t>7</w:t>
      </w:r>
      <w:r w:rsidR="003B4413" w:rsidRPr="00FD1023">
        <w:rPr>
          <w:b/>
          <w:spacing w:val="-4"/>
        </w:rPr>
        <w:t>,5</w:t>
      </w:r>
      <w:r w:rsidR="001752C3">
        <w:rPr>
          <w:b/>
          <w:spacing w:val="-4"/>
        </w:rPr>
        <w:t>3</w:t>
      </w:r>
      <w:r w:rsidR="003B4413" w:rsidRPr="00FD1023">
        <w:rPr>
          <w:spacing w:val="-4"/>
        </w:rPr>
        <w:t>%</w:t>
      </w:r>
      <w:r w:rsidRPr="007F5812">
        <w:rPr>
          <w:rStyle w:val="FootnoteReference"/>
          <w:b/>
          <w:spacing w:val="-4"/>
          <w:lang w:val="en-US"/>
        </w:rPr>
        <w:footnoteReference w:id="16"/>
      </w:r>
      <w:r w:rsidR="00FE01C0">
        <w:rPr>
          <w:spacing w:val="-4"/>
          <w:lang w:val="en-US"/>
        </w:rPr>
        <w:t xml:space="preserve"> </w:t>
      </w:r>
      <w:r w:rsidR="00406769" w:rsidRPr="00FD1023">
        <w:rPr>
          <w:i/>
          <w:lang w:val="en-US"/>
        </w:rPr>
        <w:t>(Chi tiết tại Phụ lục I)</w:t>
      </w:r>
      <w:r w:rsidR="00E74A2E" w:rsidRPr="00FD1023">
        <w:rPr>
          <w:i/>
          <w:lang w:val="en-US"/>
        </w:rPr>
        <w:t>.</w:t>
      </w:r>
    </w:p>
    <w:p w14:paraId="63B95400" w14:textId="5E4342BB" w:rsidR="00406769" w:rsidRPr="00FD1023" w:rsidRDefault="00BD7CD5" w:rsidP="009E36FC">
      <w:pPr>
        <w:spacing w:after="100"/>
        <w:ind w:firstLine="720"/>
        <w:jc w:val="both"/>
        <w:rPr>
          <w:i/>
        </w:rPr>
      </w:pPr>
      <w:r w:rsidRPr="00FE01C0">
        <w:rPr>
          <w:i/>
          <w:spacing w:val="-6"/>
        </w:rPr>
        <w:t>(</w:t>
      </w:r>
      <w:r w:rsidR="00FE01C0" w:rsidRPr="00FE01C0">
        <w:rPr>
          <w:i/>
          <w:spacing w:val="-6"/>
        </w:rPr>
        <w:t>2</w:t>
      </w:r>
      <w:r w:rsidRPr="00FE01C0">
        <w:rPr>
          <w:i/>
          <w:spacing w:val="-6"/>
        </w:rPr>
        <w:t>)</w:t>
      </w:r>
      <w:r w:rsidR="00406769" w:rsidRPr="00FE01C0">
        <w:rPr>
          <w:i/>
          <w:spacing w:val="-6"/>
        </w:rPr>
        <w:t xml:space="preserve"> Kết quả phân cấp trong giải quyết TTHC</w:t>
      </w:r>
      <w:r w:rsidR="006C4F3D" w:rsidRPr="00FE01C0">
        <w:rPr>
          <w:i/>
          <w:spacing w:val="-6"/>
        </w:rPr>
        <w:t xml:space="preserve"> theo Quyết định số </w:t>
      </w:r>
      <w:r w:rsidR="00D11D26" w:rsidRPr="00FE01C0">
        <w:rPr>
          <w:i/>
          <w:spacing w:val="-6"/>
        </w:rPr>
        <w:t>1015</w:t>
      </w:r>
      <w:r w:rsidR="006C4F3D" w:rsidRPr="00FE01C0">
        <w:rPr>
          <w:i/>
          <w:spacing w:val="-6"/>
        </w:rPr>
        <w:t>/QĐ-TTg</w:t>
      </w:r>
      <w:r w:rsidR="006C4F3D" w:rsidRPr="00FD1023">
        <w:rPr>
          <w:i/>
        </w:rPr>
        <w:t xml:space="preserve"> ngày </w:t>
      </w:r>
      <w:r w:rsidR="00FE01C0">
        <w:rPr>
          <w:i/>
        </w:rPr>
        <w:t>30</w:t>
      </w:r>
      <w:r w:rsidR="006C4F3D" w:rsidRPr="00FD1023">
        <w:rPr>
          <w:i/>
        </w:rPr>
        <w:t xml:space="preserve"> tháng </w:t>
      </w:r>
      <w:r w:rsidR="00FE01C0">
        <w:rPr>
          <w:i/>
        </w:rPr>
        <w:t>8</w:t>
      </w:r>
      <w:r w:rsidR="006C4F3D" w:rsidRPr="00FD1023">
        <w:rPr>
          <w:i/>
        </w:rPr>
        <w:t xml:space="preserve"> năm 2022 của Thủ tướng Chính phủ</w:t>
      </w:r>
      <w:r w:rsidR="00406769" w:rsidRPr="00FD1023">
        <w:rPr>
          <w:i/>
        </w:rPr>
        <w:t>:</w:t>
      </w:r>
    </w:p>
    <w:p w14:paraId="4C61A70D" w14:textId="2712D259" w:rsidR="00FE01C0" w:rsidRDefault="00FF71A9" w:rsidP="007D080B">
      <w:pPr>
        <w:spacing w:after="100"/>
        <w:ind w:firstLine="720"/>
        <w:jc w:val="both"/>
        <w:rPr>
          <w:b/>
          <w:i/>
          <w:spacing w:val="-4"/>
          <w:lang w:val="en-US"/>
        </w:rPr>
      </w:pPr>
      <w:bookmarkStart w:id="2" w:name="_heading=h.30j0zll" w:colFirst="0" w:colLast="0"/>
      <w:bookmarkStart w:id="3" w:name="_heading=h.ir42kj2s455l" w:colFirst="0" w:colLast="0"/>
      <w:bookmarkEnd w:id="2"/>
      <w:bookmarkEnd w:id="3"/>
      <w:r w:rsidRPr="00FD1023">
        <w:rPr>
          <w:spacing w:val="-4"/>
        </w:rPr>
        <w:t xml:space="preserve">Trong năm, có 14 bộ, ngành thực thi phương án phân cấp </w:t>
      </w:r>
      <w:r w:rsidRPr="00FD1023">
        <w:rPr>
          <w:b/>
          <w:spacing w:val="-4"/>
        </w:rPr>
        <w:t>8</w:t>
      </w:r>
      <w:r w:rsidR="00034B39">
        <w:rPr>
          <w:b/>
          <w:spacing w:val="-4"/>
        </w:rPr>
        <w:t>6</w:t>
      </w:r>
      <w:r w:rsidRPr="00FD1023">
        <w:rPr>
          <w:spacing w:val="-4"/>
        </w:rPr>
        <w:t xml:space="preserve"> TTHC tại </w:t>
      </w:r>
      <w:r w:rsidRPr="00FD1023">
        <w:rPr>
          <w:b/>
          <w:spacing w:val="-4"/>
        </w:rPr>
        <w:t>2</w:t>
      </w:r>
      <w:r w:rsidR="00034B39">
        <w:rPr>
          <w:b/>
          <w:spacing w:val="-4"/>
        </w:rPr>
        <w:t>6</w:t>
      </w:r>
      <w:r w:rsidRPr="00FD1023">
        <w:rPr>
          <w:spacing w:val="-4"/>
        </w:rPr>
        <w:t xml:space="preserve"> VBQPPL</w:t>
      </w:r>
      <w:r w:rsidRPr="00FD1023">
        <w:rPr>
          <w:rStyle w:val="FootnoteReference"/>
          <w:spacing w:val="-4"/>
        </w:rPr>
        <w:footnoteReference w:id="17"/>
      </w:r>
      <w:r w:rsidRPr="00FD1023">
        <w:rPr>
          <w:spacing w:val="-4"/>
        </w:rPr>
        <w:t xml:space="preserve">, nâng tổng số TTHC được phân cấp </w:t>
      </w:r>
      <w:r w:rsidR="00034B39">
        <w:rPr>
          <w:spacing w:val="-4"/>
        </w:rPr>
        <w:t>theo Quyết định số</w:t>
      </w:r>
      <w:r w:rsidR="00034B39" w:rsidRPr="00FD1023">
        <w:rPr>
          <w:spacing w:val="-4"/>
        </w:rPr>
        <w:t xml:space="preserve"> </w:t>
      </w:r>
      <w:r w:rsidR="00034B39">
        <w:rPr>
          <w:spacing w:val="-4"/>
        </w:rPr>
        <w:t xml:space="preserve">1015/QĐ-TTg </w:t>
      </w:r>
      <w:r w:rsidRPr="00FD1023">
        <w:rPr>
          <w:spacing w:val="-4"/>
        </w:rPr>
        <w:t xml:space="preserve">từ năm 2022 đến nay là </w:t>
      </w:r>
      <w:r w:rsidRPr="00FD1023">
        <w:rPr>
          <w:b/>
          <w:spacing w:val="-4"/>
        </w:rPr>
        <w:t>15</w:t>
      </w:r>
      <w:r w:rsidR="00034B39">
        <w:rPr>
          <w:b/>
          <w:spacing w:val="-4"/>
        </w:rPr>
        <w:t>3/699</w:t>
      </w:r>
      <w:r w:rsidRPr="00FD1023">
        <w:rPr>
          <w:spacing w:val="-4"/>
        </w:rPr>
        <w:t xml:space="preserve"> TTHC, đạt </w:t>
      </w:r>
      <w:r w:rsidRPr="00FD1023">
        <w:rPr>
          <w:b/>
          <w:spacing w:val="-4"/>
        </w:rPr>
        <w:t>2</w:t>
      </w:r>
      <w:r w:rsidR="00034B39">
        <w:rPr>
          <w:b/>
          <w:spacing w:val="-4"/>
        </w:rPr>
        <w:t>1</w:t>
      </w:r>
      <w:r w:rsidRPr="00FD1023">
        <w:rPr>
          <w:b/>
          <w:spacing w:val="-4"/>
        </w:rPr>
        <w:t>,</w:t>
      </w:r>
      <w:r w:rsidR="00FE01C0">
        <w:rPr>
          <w:b/>
          <w:spacing w:val="-4"/>
        </w:rPr>
        <w:t>9</w:t>
      </w:r>
      <w:r w:rsidRPr="00FD1023">
        <w:rPr>
          <w:spacing w:val="-4"/>
        </w:rPr>
        <w:t>%</w:t>
      </w:r>
      <w:r w:rsidR="00034B39" w:rsidRPr="00020E7F">
        <w:rPr>
          <w:rStyle w:val="FootnoteReference"/>
          <w:b/>
          <w:spacing w:val="-4"/>
        </w:rPr>
        <w:footnoteReference w:id="18"/>
      </w:r>
      <w:r w:rsidR="00034B39">
        <w:rPr>
          <w:spacing w:val="-4"/>
        </w:rPr>
        <w:t>. Đến nay</w:t>
      </w:r>
      <w:r w:rsidRPr="00FD1023">
        <w:rPr>
          <w:spacing w:val="-4"/>
        </w:rPr>
        <w:t>,</w:t>
      </w:r>
      <w:r w:rsidR="00034B39">
        <w:rPr>
          <w:spacing w:val="-4"/>
        </w:rPr>
        <w:t xml:space="preserve"> có</w:t>
      </w:r>
      <w:r w:rsidRPr="00FD1023">
        <w:rPr>
          <w:spacing w:val="-4"/>
          <w:lang w:val="en-US"/>
        </w:rPr>
        <w:t xml:space="preserve"> 03 cơ quan</w:t>
      </w:r>
      <w:r w:rsidRPr="00034B39">
        <w:rPr>
          <w:rStyle w:val="FootnoteReference"/>
          <w:b/>
          <w:spacing w:val="-4"/>
          <w:lang w:val="en-US"/>
        </w:rPr>
        <w:footnoteReference w:id="19"/>
      </w:r>
      <w:r w:rsidRPr="00034B39">
        <w:rPr>
          <w:b/>
          <w:spacing w:val="-4"/>
          <w:lang w:val="en-US"/>
        </w:rPr>
        <w:t xml:space="preserve"> </w:t>
      </w:r>
      <w:r w:rsidRPr="00FD1023">
        <w:rPr>
          <w:spacing w:val="-4"/>
          <w:lang w:val="en-US"/>
        </w:rPr>
        <w:t xml:space="preserve">hoàn </w:t>
      </w:r>
      <w:r w:rsidRPr="00FD1023">
        <w:rPr>
          <w:spacing w:val="-4"/>
          <w:lang w:val="en-US"/>
        </w:rPr>
        <w:lastRenderedPageBreak/>
        <w:t>thành việc thực thi phương án phân cấp, 02 bộ</w:t>
      </w:r>
      <w:r w:rsidRPr="00034B39">
        <w:rPr>
          <w:rStyle w:val="FootnoteReference"/>
          <w:b/>
          <w:spacing w:val="-4"/>
          <w:lang w:val="en-US"/>
        </w:rPr>
        <w:footnoteReference w:id="20"/>
      </w:r>
      <w:r w:rsidRPr="00FD1023">
        <w:rPr>
          <w:spacing w:val="-4"/>
          <w:lang w:val="en-US"/>
        </w:rPr>
        <w:t xml:space="preserve"> đạt tỷ lệ trên 50% và 10 bộ đạt </w:t>
      </w:r>
      <w:r w:rsidR="00034B39">
        <w:rPr>
          <w:spacing w:val="-4"/>
          <w:lang w:val="en-US"/>
        </w:rPr>
        <w:t xml:space="preserve">tỷ lệ </w:t>
      </w:r>
      <w:r w:rsidRPr="00FD1023">
        <w:rPr>
          <w:spacing w:val="-4"/>
          <w:lang w:val="en-US"/>
        </w:rPr>
        <w:t>dưới 50%; còn 06 bộ</w:t>
      </w:r>
      <w:r w:rsidRPr="00034B39">
        <w:rPr>
          <w:rStyle w:val="FootnoteReference"/>
          <w:b/>
          <w:spacing w:val="-4"/>
        </w:rPr>
        <w:footnoteReference w:id="21"/>
      </w:r>
      <w:r w:rsidRPr="00FD1023">
        <w:rPr>
          <w:spacing w:val="-4"/>
          <w:lang w:val="en-US"/>
        </w:rPr>
        <w:t xml:space="preserve"> chưa thực thi </w:t>
      </w:r>
      <w:r w:rsidRPr="00FD1023">
        <w:rPr>
          <w:spacing w:val="-4"/>
        </w:rPr>
        <w:t xml:space="preserve">phương án phân cấp theo </w:t>
      </w:r>
      <w:r w:rsidRPr="00FD1023">
        <w:rPr>
          <w:spacing w:val="-4"/>
          <w:lang w:val="en-US"/>
        </w:rPr>
        <w:t xml:space="preserve">phê duyệt của Thủ tướng Chính phủ. </w:t>
      </w:r>
      <w:r w:rsidR="008D035B" w:rsidRPr="00FD1023">
        <w:rPr>
          <w:lang w:val="en-US"/>
        </w:rPr>
        <w:t>B</w:t>
      </w:r>
      <w:r w:rsidRPr="00FD1023">
        <w:rPr>
          <w:lang w:val="vi-VN"/>
        </w:rPr>
        <w:t xml:space="preserve">ộ </w:t>
      </w:r>
      <w:r w:rsidR="008D035B" w:rsidRPr="00FD1023">
        <w:rPr>
          <w:lang w:val="en-US"/>
        </w:rPr>
        <w:t xml:space="preserve">Xây dựng </w:t>
      </w:r>
      <w:r w:rsidRPr="00FD1023">
        <w:rPr>
          <w:lang w:val="en-US"/>
        </w:rPr>
        <w:t xml:space="preserve">đã </w:t>
      </w:r>
      <w:r w:rsidRPr="00FD1023">
        <w:rPr>
          <w:lang w:val="vi-VN"/>
        </w:rPr>
        <w:t>chủ động phân cấp thêm các TTHC ngoài danh mục được Thủ tướng Chính phủ phê duyệt.</w:t>
      </w:r>
      <w:r w:rsidR="00562A39" w:rsidRPr="00FD1023">
        <w:rPr>
          <w:lang w:val="en-US"/>
        </w:rPr>
        <w:t xml:space="preserve"> </w:t>
      </w:r>
      <w:r w:rsidRPr="00FD1023">
        <w:rPr>
          <w:b/>
          <w:i/>
          <w:spacing w:val="-4"/>
          <w:lang w:val="en-US"/>
        </w:rPr>
        <w:t xml:space="preserve"> </w:t>
      </w:r>
    </w:p>
    <w:p w14:paraId="57D86149" w14:textId="71ED7D3E" w:rsidR="00406769" w:rsidRDefault="00FF71A9" w:rsidP="007D080B">
      <w:pPr>
        <w:spacing w:after="100"/>
        <w:ind w:firstLine="720"/>
        <w:jc w:val="both"/>
        <w:rPr>
          <w:i/>
          <w:lang w:val="en-US"/>
        </w:rPr>
      </w:pPr>
      <w:r w:rsidRPr="00FD1023">
        <w:rPr>
          <w:spacing w:val="-6"/>
        </w:rPr>
        <w:t xml:space="preserve">Hiện còn </w:t>
      </w:r>
      <w:r w:rsidRPr="00FD1023">
        <w:rPr>
          <w:b/>
          <w:spacing w:val="-6"/>
        </w:rPr>
        <w:t>546</w:t>
      </w:r>
      <w:r w:rsidR="00FE01C0">
        <w:rPr>
          <w:b/>
          <w:spacing w:val="-6"/>
        </w:rPr>
        <w:t>/699</w:t>
      </w:r>
      <w:r w:rsidRPr="00FD1023">
        <w:rPr>
          <w:spacing w:val="-6"/>
        </w:rPr>
        <w:t xml:space="preserve"> TTHC </w:t>
      </w:r>
      <w:r w:rsidR="00FE01C0">
        <w:rPr>
          <w:spacing w:val="-6"/>
        </w:rPr>
        <w:t xml:space="preserve">(78,1%) </w:t>
      </w:r>
      <w:r w:rsidRPr="00FD1023">
        <w:rPr>
          <w:spacing w:val="-6"/>
        </w:rPr>
        <w:t xml:space="preserve">chưa được thực thi phương án phân cấp </w:t>
      </w:r>
      <w:r w:rsidR="00FE01C0">
        <w:rPr>
          <w:spacing w:val="-6"/>
        </w:rPr>
        <w:t>(</w:t>
      </w:r>
      <w:r w:rsidRPr="00FD1023">
        <w:rPr>
          <w:spacing w:val="-6"/>
        </w:rPr>
        <w:t xml:space="preserve">trong đó: </w:t>
      </w:r>
      <w:r w:rsidRPr="00FD1023">
        <w:rPr>
          <w:b/>
          <w:spacing w:val="-6"/>
        </w:rPr>
        <w:t>184</w:t>
      </w:r>
      <w:r w:rsidR="00FE01C0">
        <w:rPr>
          <w:b/>
          <w:spacing w:val="-6"/>
        </w:rPr>
        <w:t>/546</w:t>
      </w:r>
      <w:r w:rsidRPr="00FD1023">
        <w:rPr>
          <w:spacing w:val="-6"/>
        </w:rPr>
        <w:t xml:space="preserve"> TTHC </w:t>
      </w:r>
      <w:r w:rsidR="00FE01C0">
        <w:rPr>
          <w:spacing w:val="-6"/>
        </w:rPr>
        <w:t xml:space="preserve">(33,7%) </w:t>
      </w:r>
      <w:r w:rsidRPr="00FD1023">
        <w:rPr>
          <w:spacing w:val="-6"/>
        </w:rPr>
        <w:t xml:space="preserve">quy định tại </w:t>
      </w:r>
      <w:r w:rsidRPr="00FD1023">
        <w:rPr>
          <w:b/>
          <w:spacing w:val="-6"/>
        </w:rPr>
        <w:t>31</w:t>
      </w:r>
      <w:r w:rsidRPr="00FD1023">
        <w:rPr>
          <w:spacing w:val="-6"/>
        </w:rPr>
        <w:t xml:space="preserve"> Luật, </w:t>
      </w:r>
      <w:r w:rsidRPr="00FD1023">
        <w:rPr>
          <w:b/>
          <w:spacing w:val="-6"/>
        </w:rPr>
        <w:t>362</w:t>
      </w:r>
      <w:r w:rsidR="006460B3">
        <w:rPr>
          <w:b/>
          <w:spacing w:val="-6"/>
        </w:rPr>
        <w:t>/546</w:t>
      </w:r>
      <w:r w:rsidRPr="00FD1023">
        <w:rPr>
          <w:spacing w:val="-6"/>
        </w:rPr>
        <w:t xml:space="preserve"> TTHC </w:t>
      </w:r>
      <w:r w:rsidR="006460B3">
        <w:rPr>
          <w:spacing w:val="-6"/>
        </w:rPr>
        <w:t xml:space="preserve">(66,3%) </w:t>
      </w:r>
      <w:r w:rsidR="006460B3">
        <w:rPr>
          <w:spacing w:val="-6"/>
        </w:rPr>
        <w:br/>
      </w:r>
      <w:r w:rsidRPr="00FD1023">
        <w:rPr>
          <w:spacing w:val="-6"/>
        </w:rPr>
        <w:t xml:space="preserve">quy định tại </w:t>
      </w:r>
      <w:r w:rsidRPr="00FD1023">
        <w:rPr>
          <w:b/>
          <w:spacing w:val="-6"/>
        </w:rPr>
        <w:t>148</w:t>
      </w:r>
      <w:r w:rsidRPr="00FD1023">
        <w:rPr>
          <w:spacing w:val="-6"/>
        </w:rPr>
        <w:t xml:space="preserve"> VBQPPL thuộc thẩm quyền của Chính phủ, Thủ tướng Chính phủ, Bộ trưởng, Thủ trưởng cơ quan ngang bộ</w:t>
      </w:r>
      <w:r w:rsidR="006460B3">
        <w:rPr>
          <w:spacing w:val="-6"/>
        </w:rPr>
        <w:t>)</w:t>
      </w:r>
      <w:r w:rsidR="00562A39" w:rsidRPr="00FD1023">
        <w:rPr>
          <w:spacing w:val="-6"/>
        </w:rPr>
        <w:t xml:space="preserve"> </w:t>
      </w:r>
      <w:r w:rsidR="00406769" w:rsidRPr="00FD1023">
        <w:rPr>
          <w:i/>
          <w:lang w:val="en-US"/>
        </w:rPr>
        <w:t xml:space="preserve">(Chi tiết tại Phụ lục </w:t>
      </w:r>
      <w:r w:rsidR="002A4E4C" w:rsidRPr="00FD1023">
        <w:rPr>
          <w:i/>
          <w:lang w:val="en-US"/>
        </w:rPr>
        <w:t>II</w:t>
      </w:r>
      <w:r w:rsidR="00406769" w:rsidRPr="00FD1023">
        <w:rPr>
          <w:i/>
          <w:lang w:val="en-US"/>
        </w:rPr>
        <w:t>)</w:t>
      </w:r>
      <w:r w:rsidR="007A75A3" w:rsidRPr="00FD1023">
        <w:rPr>
          <w:i/>
          <w:lang w:val="en-US"/>
        </w:rPr>
        <w:t>.</w:t>
      </w:r>
    </w:p>
    <w:p w14:paraId="5CF44788" w14:textId="3ED46E2B" w:rsidR="00FE01C0" w:rsidRPr="00FD1023" w:rsidRDefault="006460B3" w:rsidP="00FE01C0">
      <w:pPr>
        <w:spacing w:after="100"/>
        <w:ind w:firstLine="720"/>
        <w:jc w:val="both"/>
        <w:rPr>
          <w:i/>
        </w:rPr>
      </w:pPr>
      <w:r>
        <w:rPr>
          <w:i/>
        </w:rPr>
        <w:t>(3</w:t>
      </w:r>
      <w:r w:rsidR="00FE01C0" w:rsidRPr="00FD1023">
        <w:rPr>
          <w:i/>
        </w:rPr>
        <w:t>) Kết quả đơn giản hóa TTHC nội bộ theo Quyết định số 1085/QĐ-TTg ngày 15 tháng 9 năm 2022 của Thủ tướng Chính phủ:</w:t>
      </w:r>
    </w:p>
    <w:p w14:paraId="06F6D173" w14:textId="77777777" w:rsidR="006460B3" w:rsidRDefault="006460B3" w:rsidP="00FE01C0">
      <w:pPr>
        <w:spacing w:after="100"/>
        <w:ind w:firstLine="720"/>
        <w:jc w:val="both"/>
      </w:pPr>
      <w:r>
        <w:t xml:space="preserve">(i) </w:t>
      </w:r>
      <w:r w:rsidR="00FE01C0">
        <w:t>Về công bố danh mục TTHC nội bộ</w:t>
      </w:r>
      <w:r>
        <w:t>:</w:t>
      </w:r>
      <w:r w:rsidR="00FE01C0">
        <w:t xml:space="preserve"> </w:t>
      </w:r>
    </w:p>
    <w:p w14:paraId="2269080C" w14:textId="1F0C87A1" w:rsidR="00FE01C0" w:rsidRPr="001752C3" w:rsidRDefault="00FE01C0" w:rsidP="00FE01C0">
      <w:pPr>
        <w:spacing w:after="100"/>
        <w:ind w:firstLine="720"/>
        <w:jc w:val="both"/>
        <w:rPr>
          <w:lang w:val="en-US"/>
        </w:rPr>
      </w:pPr>
      <w:r w:rsidRPr="00FD1023">
        <w:t xml:space="preserve">22/22 bộ, ngành </w:t>
      </w:r>
      <w:r>
        <w:t xml:space="preserve">đã xác định và </w:t>
      </w:r>
      <w:r w:rsidRPr="00FD1023">
        <w:t xml:space="preserve">công bố </w:t>
      </w:r>
      <w:r w:rsidRPr="001752C3">
        <w:rPr>
          <w:b/>
        </w:rPr>
        <w:t>1.372</w:t>
      </w:r>
      <w:r>
        <w:t xml:space="preserve"> TTHC nội bộ (gồm: </w:t>
      </w:r>
      <w:r w:rsidRPr="00FD1023">
        <w:rPr>
          <w:b/>
        </w:rPr>
        <w:t>645</w:t>
      </w:r>
      <w:r w:rsidRPr="00FD1023">
        <w:t xml:space="preserve"> TTHC nội bộ giữa các cơ quan hành chính nhà nước và </w:t>
      </w:r>
      <w:r w:rsidRPr="00FD1023">
        <w:rPr>
          <w:b/>
          <w:lang w:val="en-US"/>
        </w:rPr>
        <w:t>727</w:t>
      </w:r>
      <w:r w:rsidRPr="00FD1023">
        <w:rPr>
          <w:lang w:val="vi-VN"/>
        </w:rPr>
        <w:t xml:space="preserve"> TTHC </w:t>
      </w:r>
      <w:r>
        <w:rPr>
          <w:lang w:val="en-US"/>
        </w:rPr>
        <w:t xml:space="preserve">nội bộ </w:t>
      </w:r>
      <w:r w:rsidRPr="00FD1023">
        <w:t xml:space="preserve">trong </w:t>
      </w:r>
      <w:r w:rsidRPr="001752C3">
        <w:t>từng bộ</w:t>
      </w:r>
      <w:r w:rsidRPr="001752C3">
        <w:rPr>
          <w:lang w:val="vi-VN"/>
        </w:rPr>
        <w:t xml:space="preserve">, </w:t>
      </w:r>
      <w:r w:rsidRPr="001752C3">
        <w:rPr>
          <w:lang w:val="en-US"/>
        </w:rPr>
        <w:t>cơ quan); 63/63</w:t>
      </w:r>
      <w:r w:rsidRPr="001752C3">
        <w:t xml:space="preserve"> địa phương đã công bố danh mục TTHC nội bộ thực hiện tại địa phương, tuy nhiên số lượng công bố có sự chênh lệch lớn giữa các địa phương </w:t>
      </w:r>
      <w:r w:rsidRPr="001752C3">
        <w:rPr>
          <w:i/>
        </w:rPr>
        <w:t>(như: Tỉnh Ninh Thuận: 200 TTHC nội bộ, các tỉnh Vĩnh Phúc, Bến Tre, Thái Bình, Tiền Giang, Quảng Ngãi, Khánh Hòa: dưới 10 TTHC nội bộ)</w:t>
      </w:r>
      <w:r w:rsidRPr="001752C3">
        <w:t xml:space="preserve">. </w:t>
      </w:r>
      <w:r w:rsidRPr="001752C3">
        <w:rPr>
          <w:lang w:val="en-US"/>
        </w:rPr>
        <w:t>Số lượng TTHC nội bộ được các bộ, cơ quan, địa phương xác định và công bố danh mục chưa đầy đủ theo yêu cầu tại Quyết định số 1085/QĐ-TTg. Tổ công tác cải cách TTHC của Thủ tướng Chính phủ đã yêu cầu các bộ, địa phương tiếp tục rà soát, công bố bổ sung danh mục TTHC nội bộ</w:t>
      </w:r>
      <w:r w:rsidRPr="001752C3">
        <w:rPr>
          <w:rStyle w:val="FootnoteReference"/>
          <w:lang w:val="en-US"/>
        </w:rPr>
        <w:footnoteReference w:id="22"/>
      </w:r>
      <w:r w:rsidRPr="001752C3">
        <w:rPr>
          <w:lang w:val="en-US"/>
        </w:rPr>
        <w:t xml:space="preserve">. </w:t>
      </w:r>
    </w:p>
    <w:p w14:paraId="0032FC5E" w14:textId="77777777" w:rsidR="006460B3" w:rsidRDefault="006460B3" w:rsidP="00FE01C0">
      <w:pPr>
        <w:spacing w:after="100"/>
        <w:ind w:firstLine="720"/>
        <w:jc w:val="both"/>
      </w:pPr>
      <w:r>
        <w:t xml:space="preserve">(ii) </w:t>
      </w:r>
      <w:r w:rsidR="00FE01C0" w:rsidRPr="001752C3">
        <w:t>Về rà soát, đơn giản hóa TTHC nội bộ</w:t>
      </w:r>
      <w:r>
        <w:t>:</w:t>
      </w:r>
      <w:r w:rsidR="00FE01C0" w:rsidRPr="001752C3">
        <w:t xml:space="preserve"> </w:t>
      </w:r>
    </w:p>
    <w:p w14:paraId="32666D75" w14:textId="3AC74F75" w:rsidR="00FE01C0" w:rsidRPr="001752C3" w:rsidRDefault="006460B3" w:rsidP="00FE01C0">
      <w:pPr>
        <w:spacing w:after="100"/>
        <w:ind w:firstLine="720"/>
        <w:jc w:val="both"/>
      </w:pPr>
      <w:r>
        <w:t>M</w:t>
      </w:r>
      <w:r w:rsidR="00FE01C0" w:rsidRPr="001752C3">
        <w:t xml:space="preserve">ột số bộ đã rà soát, đề xuất phương án cắt giảm, đơn giản hóa TTHC và đang tiếp thu ý kiến của các bộ, cơ quan liên quan để hoàn thiện, trình Thủ tướng Chính phủ </w:t>
      </w:r>
      <w:r w:rsidR="00FE01C0" w:rsidRPr="001752C3">
        <w:rPr>
          <w:i/>
        </w:rPr>
        <w:t xml:space="preserve">(như: </w:t>
      </w:r>
      <w:r w:rsidR="00FE01C0" w:rsidRPr="001752C3">
        <w:rPr>
          <w:i/>
          <w:lang w:val="en-US"/>
        </w:rPr>
        <w:t>Giao thông vận tải, Khoa học và Công nghệ, Nông nghiệp và Phát triển nông thôn, Quốc phòng, Tài chính, Văn hóa, Thể thao và Du lịch…)</w:t>
      </w:r>
      <w:r w:rsidR="00FE01C0" w:rsidRPr="001752C3">
        <w:rPr>
          <w:lang w:val="en-US"/>
        </w:rPr>
        <w:t>; m</w:t>
      </w:r>
      <w:r w:rsidR="00FE01C0" w:rsidRPr="001752C3">
        <w:t>ột số</w:t>
      </w:r>
      <w:r w:rsidR="00FE01C0" w:rsidRPr="001752C3">
        <w:rPr>
          <w:spacing w:val="-4"/>
          <w:lang w:val="vi-VN"/>
        </w:rPr>
        <w:t xml:space="preserve"> địa phương </w:t>
      </w:r>
      <w:r w:rsidR="00FE01C0">
        <w:rPr>
          <w:spacing w:val="-4"/>
          <w:lang w:val="en-US"/>
        </w:rPr>
        <w:t xml:space="preserve">đã </w:t>
      </w:r>
      <w:r w:rsidR="00FE01C0" w:rsidRPr="001752C3">
        <w:rPr>
          <w:spacing w:val="-4"/>
          <w:lang w:val="vi-VN"/>
        </w:rPr>
        <w:t>tích cực rà soát, phê duyệt và thực thi phương án cắt giảm, đơn giản hóa TTHC nội bộ</w:t>
      </w:r>
      <w:r w:rsidR="00FE01C0" w:rsidRPr="001752C3">
        <w:rPr>
          <w:lang w:val="en-US"/>
        </w:rPr>
        <w:t xml:space="preserve"> của địa phương </w:t>
      </w:r>
      <w:r w:rsidR="00FE01C0" w:rsidRPr="001752C3">
        <w:rPr>
          <w:i/>
          <w:lang w:val="en-US"/>
        </w:rPr>
        <w:t xml:space="preserve">(như: Thành phố Hà Nội, </w:t>
      </w:r>
      <w:r w:rsidR="00FE01C0" w:rsidRPr="001752C3">
        <w:rPr>
          <w:i/>
          <w:lang w:val="vi-VN"/>
        </w:rPr>
        <w:t>Hà Giang, Thanh Hóa</w:t>
      </w:r>
      <w:r w:rsidR="00FE01C0" w:rsidRPr="001752C3">
        <w:rPr>
          <w:i/>
          <w:lang w:val="en-US"/>
        </w:rPr>
        <w:t>,…)</w:t>
      </w:r>
      <w:r w:rsidR="00FE01C0" w:rsidRPr="001752C3">
        <w:rPr>
          <w:lang w:val="en-US"/>
        </w:rPr>
        <w:t xml:space="preserve"> </w:t>
      </w:r>
      <w:r w:rsidR="00FE01C0" w:rsidRPr="001752C3">
        <w:rPr>
          <w:spacing w:val="-2"/>
          <w:lang w:val="en-US"/>
        </w:rPr>
        <w:t>(</w:t>
      </w:r>
      <w:r w:rsidR="00FE01C0" w:rsidRPr="001752C3">
        <w:rPr>
          <w:i/>
          <w:spacing w:val="-2"/>
          <w:lang w:val="en-US"/>
        </w:rPr>
        <w:t xml:space="preserve">Chi tiết tại Phụ lục </w:t>
      </w:r>
      <w:r>
        <w:rPr>
          <w:i/>
          <w:spacing w:val="-2"/>
          <w:lang w:val="en-US"/>
        </w:rPr>
        <w:t>I</w:t>
      </w:r>
      <w:r w:rsidR="00FE01C0" w:rsidRPr="001752C3">
        <w:rPr>
          <w:i/>
          <w:spacing w:val="-2"/>
          <w:lang w:val="en-US"/>
        </w:rPr>
        <w:t>II).</w:t>
      </w:r>
    </w:p>
    <w:p w14:paraId="23190CD5" w14:textId="547517F1" w:rsidR="00406769" w:rsidRPr="00FD1023" w:rsidRDefault="00BD7CD5" w:rsidP="007D080B">
      <w:pPr>
        <w:spacing w:after="100"/>
        <w:ind w:firstLine="720"/>
        <w:jc w:val="both"/>
      </w:pPr>
      <w:r w:rsidRPr="00FD1023">
        <w:rPr>
          <w:i/>
        </w:rPr>
        <w:t>(4)</w:t>
      </w:r>
      <w:r w:rsidR="00406769" w:rsidRPr="00FD1023">
        <w:rPr>
          <w:i/>
        </w:rPr>
        <w:t xml:space="preserve"> Kết quả thực thi</w:t>
      </w:r>
      <w:r w:rsidR="00406769" w:rsidRPr="00FD1023" w:rsidDel="0067281D">
        <w:rPr>
          <w:i/>
        </w:rPr>
        <w:t xml:space="preserve"> 19 Nghị quyết của Chính phủ về đơn giản hóa TTHC, giấy tờ công dân liên quan đến quản lý dân cư</w:t>
      </w:r>
      <w:r w:rsidR="00406769" w:rsidRPr="00FD1023">
        <w:t>:</w:t>
      </w:r>
    </w:p>
    <w:p w14:paraId="130DFCA8" w14:textId="17BD7961" w:rsidR="00406769" w:rsidRPr="00FD1023" w:rsidRDefault="006460B3" w:rsidP="007D080B">
      <w:pPr>
        <w:pStyle w:val="BodyTextIndent"/>
        <w:tabs>
          <w:tab w:val="left" w:pos="840"/>
        </w:tabs>
        <w:spacing w:after="100"/>
        <w:ind w:right="0" w:firstLine="709"/>
        <w:rPr>
          <w:rFonts w:ascii="Times New Roman" w:hAnsi="Times New Roman"/>
          <w:spacing w:val="-4"/>
          <w:szCs w:val="28"/>
        </w:rPr>
      </w:pPr>
      <w:r>
        <w:rPr>
          <w:rFonts w:ascii="Times New Roman" w:hAnsi="Times New Roman"/>
          <w:spacing w:val="-4"/>
          <w:szCs w:val="28"/>
        </w:rPr>
        <w:t xml:space="preserve">Theo 19 Nghị quyết, số lượng TTHC cần đơn giản hóa là: </w:t>
      </w:r>
      <w:r w:rsidRPr="006460B3">
        <w:rPr>
          <w:rFonts w:ascii="Times New Roman" w:hAnsi="Times New Roman"/>
          <w:b/>
          <w:spacing w:val="-4"/>
          <w:szCs w:val="28"/>
        </w:rPr>
        <w:t>1.086</w:t>
      </w:r>
      <w:r>
        <w:rPr>
          <w:rFonts w:ascii="Times New Roman" w:hAnsi="Times New Roman"/>
          <w:spacing w:val="-4"/>
          <w:szCs w:val="28"/>
        </w:rPr>
        <w:t xml:space="preserve"> TTHC. </w:t>
      </w:r>
      <w:r w:rsidR="00FF71A9" w:rsidRPr="00FD1023">
        <w:rPr>
          <w:rFonts w:ascii="Times New Roman" w:hAnsi="Times New Roman"/>
          <w:spacing w:val="-4"/>
          <w:szCs w:val="28"/>
        </w:rPr>
        <w:t xml:space="preserve">Trong năm, có 09 bộ, ngành đã thực thi phương án đơn giản hóa </w:t>
      </w:r>
      <w:r w:rsidR="00FF71A9" w:rsidRPr="00FD1023">
        <w:rPr>
          <w:rFonts w:ascii="Times New Roman" w:hAnsi="Times New Roman"/>
          <w:b/>
          <w:spacing w:val="-4"/>
          <w:szCs w:val="28"/>
        </w:rPr>
        <w:t>147</w:t>
      </w:r>
      <w:r w:rsidR="00FF71A9" w:rsidRPr="00FD1023">
        <w:rPr>
          <w:rFonts w:ascii="Times New Roman" w:hAnsi="Times New Roman"/>
          <w:spacing w:val="-4"/>
          <w:szCs w:val="28"/>
        </w:rPr>
        <w:t xml:space="preserve"> TTHC, giấy tờ công dân liên quan đến quản lý dân cư, nâng tổng số TTHC được thực thi phương án đến nay là </w:t>
      </w:r>
      <w:r w:rsidR="00FF71A9" w:rsidRPr="00FD1023">
        <w:rPr>
          <w:rFonts w:ascii="Times New Roman" w:hAnsi="Times New Roman"/>
          <w:b/>
          <w:spacing w:val="-4"/>
          <w:szCs w:val="28"/>
        </w:rPr>
        <w:t>535</w:t>
      </w:r>
      <w:r w:rsidR="00FF71A9" w:rsidRPr="00FD1023">
        <w:rPr>
          <w:rFonts w:ascii="Times New Roman" w:hAnsi="Times New Roman"/>
          <w:spacing w:val="-4"/>
          <w:szCs w:val="28"/>
        </w:rPr>
        <w:t xml:space="preserve"> TTHC, đạt </w:t>
      </w:r>
      <w:r w:rsidR="00FF71A9" w:rsidRPr="00FD1023">
        <w:rPr>
          <w:rFonts w:ascii="Times New Roman" w:hAnsi="Times New Roman"/>
          <w:b/>
          <w:spacing w:val="-4"/>
          <w:szCs w:val="28"/>
        </w:rPr>
        <w:t>49,26</w:t>
      </w:r>
      <w:r w:rsidR="00FF71A9" w:rsidRPr="00FD1023">
        <w:rPr>
          <w:rFonts w:ascii="Times New Roman" w:hAnsi="Times New Roman"/>
          <w:spacing w:val="-4"/>
          <w:szCs w:val="28"/>
        </w:rPr>
        <w:t>% (</w:t>
      </w:r>
      <w:r w:rsidR="00FF71A9" w:rsidRPr="00FD1023">
        <w:rPr>
          <w:rFonts w:ascii="Times New Roman" w:hAnsi="Times New Roman"/>
          <w:i/>
          <w:spacing w:val="-4"/>
          <w:szCs w:val="28"/>
        </w:rPr>
        <w:t>535/1.086 TTHC</w:t>
      </w:r>
      <w:r w:rsidR="00FF71A9" w:rsidRPr="00FD1023">
        <w:rPr>
          <w:rFonts w:ascii="Times New Roman" w:hAnsi="Times New Roman"/>
          <w:spacing w:val="-4"/>
          <w:szCs w:val="28"/>
        </w:rPr>
        <w:t>); trong đó, có</w:t>
      </w:r>
      <w:r w:rsidR="00FF71A9" w:rsidRPr="00FD1023">
        <w:rPr>
          <w:rFonts w:ascii="Times New Roman" w:hAnsi="Times New Roman"/>
          <w:i/>
          <w:spacing w:val="-4"/>
          <w:szCs w:val="28"/>
        </w:rPr>
        <w:t xml:space="preserve"> </w:t>
      </w:r>
      <w:r w:rsidR="00FF71A9" w:rsidRPr="00FD1023">
        <w:rPr>
          <w:rFonts w:ascii="Times New Roman" w:hAnsi="Times New Roman"/>
          <w:spacing w:val="-4"/>
          <w:szCs w:val="28"/>
        </w:rPr>
        <w:t>05 bộ, ngành</w:t>
      </w:r>
      <w:r w:rsidR="00FF71A9" w:rsidRPr="00020E7F">
        <w:rPr>
          <w:rStyle w:val="FootnoteReference"/>
          <w:rFonts w:ascii="Times New Roman" w:hAnsi="Times New Roman"/>
          <w:b/>
          <w:spacing w:val="-4"/>
          <w:szCs w:val="28"/>
        </w:rPr>
        <w:footnoteReference w:id="23"/>
      </w:r>
      <w:r w:rsidR="00FF71A9" w:rsidRPr="00020E7F">
        <w:rPr>
          <w:rFonts w:ascii="Times New Roman" w:hAnsi="Times New Roman"/>
          <w:b/>
          <w:spacing w:val="-4"/>
          <w:szCs w:val="28"/>
        </w:rPr>
        <w:t xml:space="preserve"> </w:t>
      </w:r>
      <w:r w:rsidR="00FF71A9" w:rsidRPr="00FD1023">
        <w:rPr>
          <w:rFonts w:ascii="Times New Roman" w:hAnsi="Times New Roman"/>
          <w:spacing w:val="-4"/>
          <w:szCs w:val="28"/>
        </w:rPr>
        <w:t xml:space="preserve">hoàn </w:t>
      </w:r>
      <w:r w:rsidR="00FF71A9" w:rsidRPr="00FD1023">
        <w:rPr>
          <w:rFonts w:ascii="Times New Roman" w:hAnsi="Times New Roman"/>
          <w:spacing w:val="-4"/>
          <w:szCs w:val="28"/>
        </w:rPr>
        <w:lastRenderedPageBreak/>
        <w:t>thành thực thi 100% phương án đơn giản hóa, 06 bộ</w:t>
      </w:r>
      <w:r w:rsidR="00FF71A9" w:rsidRPr="00020E7F">
        <w:rPr>
          <w:rStyle w:val="FootnoteReference"/>
          <w:rFonts w:ascii="Times New Roman" w:hAnsi="Times New Roman"/>
          <w:b/>
          <w:spacing w:val="-4"/>
          <w:szCs w:val="28"/>
        </w:rPr>
        <w:footnoteReference w:id="24"/>
      </w:r>
      <w:r w:rsidR="00FF71A9" w:rsidRPr="00FD1023">
        <w:rPr>
          <w:rFonts w:ascii="Times New Roman" w:hAnsi="Times New Roman"/>
          <w:spacing w:val="-4"/>
          <w:szCs w:val="28"/>
        </w:rPr>
        <w:t xml:space="preserve"> đạt tỷ lệ trên 50%, 01 cơ quan</w:t>
      </w:r>
      <w:r w:rsidR="00FF71A9" w:rsidRPr="00020E7F">
        <w:rPr>
          <w:rStyle w:val="FootnoteReference"/>
          <w:rFonts w:ascii="Times New Roman" w:hAnsi="Times New Roman"/>
          <w:b/>
          <w:spacing w:val="-4"/>
          <w:szCs w:val="28"/>
        </w:rPr>
        <w:footnoteReference w:id="25"/>
      </w:r>
      <w:r w:rsidR="00FF71A9" w:rsidRPr="00FD1023">
        <w:rPr>
          <w:rFonts w:ascii="Times New Roman" w:hAnsi="Times New Roman"/>
          <w:spacing w:val="-4"/>
          <w:szCs w:val="28"/>
        </w:rPr>
        <w:t xml:space="preserve"> đã hoàn thành 50%, còn lại các bộ, ngành đạt dưới 50%.</w:t>
      </w:r>
      <w:r>
        <w:rPr>
          <w:rFonts w:ascii="Times New Roman" w:hAnsi="Times New Roman"/>
          <w:spacing w:val="-4"/>
          <w:szCs w:val="28"/>
        </w:rPr>
        <w:t xml:space="preserve"> </w:t>
      </w:r>
      <w:r w:rsidR="00FF71A9" w:rsidRPr="00FD1023">
        <w:rPr>
          <w:rFonts w:ascii="Times New Roman" w:hAnsi="Times New Roman"/>
          <w:szCs w:val="28"/>
        </w:rPr>
        <w:t xml:space="preserve">Hiện </w:t>
      </w:r>
      <w:r w:rsidR="00FF71A9" w:rsidRPr="00FD1023">
        <w:rPr>
          <w:rFonts w:ascii="Times New Roman" w:hAnsi="Times New Roman"/>
          <w:spacing w:val="-6"/>
          <w:szCs w:val="28"/>
        </w:rPr>
        <w:t xml:space="preserve">còn </w:t>
      </w:r>
      <w:r w:rsidR="00FF71A9" w:rsidRPr="00FD1023">
        <w:rPr>
          <w:rFonts w:ascii="Times New Roman" w:hAnsi="Times New Roman"/>
          <w:b/>
          <w:spacing w:val="-6"/>
          <w:szCs w:val="28"/>
        </w:rPr>
        <w:t>551</w:t>
      </w:r>
      <w:r w:rsidR="00FF71A9" w:rsidRPr="00FD1023">
        <w:rPr>
          <w:rFonts w:ascii="Times New Roman" w:hAnsi="Times New Roman"/>
          <w:spacing w:val="-6"/>
          <w:szCs w:val="28"/>
        </w:rPr>
        <w:t xml:space="preserve"> TTHC </w:t>
      </w:r>
      <w:r>
        <w:rPr>
          <w:rFonts w:ascii="Times New Roman" w:hAnsi="Times New Roman"/>
          <w:spacing w:val="-6"/>
          <w:szCs w:val="28"/>
        </w:rPr>
        <w:t xml:space="preserve">(50,74%) </w:t>
      </w:r>
      <w:r w:rsidR="00F24B80" w:rsidRPr="00FD1023">
        <w:rPr>
          <w:rFonts w:ascii="Times New Roman" w:hAnsi="Times New Roman"/>
          <w:spacing w:val="-6"/>
          <w:szCs w:val="28"/>
        </w:rPr>
        <w:t xml:space="preserve">tại </w:t>
      </w:r>
      <w:r w:rsidR="00FF71A9" w:rsidRPr="00FD1023">
        <w:rPr>
          <w:rFonts w:ascii="Times New Roman" w:hAnsi="Times New Roman"/>
          <w:b/>
          <w:spacing w:val="-6"/>
          <w:szCs w:val="28"/>
        </w:rPr>
        <w:t xml:space="preserve">111 </w:t>
      </w:r>
      <w:r w:rsidR="00FF71A9" w:rsidRPr="00FD1023">
        <w:rPr>
          <w:rFonts w:ascii="Times New Roman" w:hAnsi="Times New Roman"/>
          <w:spacing w:val="-6"/>
          <w:szCs w:val="28"/>
        </w:rPr>
        <w:t>VBQPPL</w:t>
      </w:r>
      <w:r w:rsidR="00FF71A9" w:rsidRPr="00020E7F">
        <w:rPr>
          <w:rStyle w:val="FootnoteReference"/>
          <w:rFonts w:ascii="Times New Roman" w:hAnsi="Times New Roman"/>
          <w:b/>
          <w:spacing w:val="-6"/>
          <w:szCs w:val="28"/>
        </w:rPr>
        <w:footnoteReference w:id="26"/>
      </w:r>
      <w:r w:rsidR="00F24B80" w:rsidRPr="00FD1023">
        <w:rPr>
          <w:rFonts w:ascii="Times New Roman" w:hAnsi="Times New Roman"/>
          <w:spacing w:val="-6"/>
          <w:szCs w:val="28"/>
        </w:rPr>
        <w:t xml:space="preserve"> chưa được thực thi phương án đơn giản hóa</w:t>
      </w:r>
      <w:r w:rsidR="00562A39" w:rsidRPr="00FD1023">
        <w:rPr>
          <w:rFonts w:ascii="Times New Roman" w:hAnsi="Times New Roman"/>
          <w:spacing w:val="-6"/>
          <w:szCs w:val="28"/>
        </w:rPr>
        <w:t xml:space="preserve"> </w:t>
      </w:r>
      <w:r w:rsidR="006F13EB" w:rsidRPr="00FD1023">
        <w:rPr>
          <w:rFonts w:ascii="Times New Roman" w:hAnsi="Times New Roman"/>
          <w:i/>
          <w:szCs w:val="28"/>
        </w:rPr>
        <w:t xml:space="preserve">(Chi tiết tại Phụ lục </w:t>
      </w:r>
      <w:r w:rsidR="002A4E4C" w:rsidRPr="00FD1023">
        <w:rPr>
          <w:rFonts w:ascii="Times New Roman" w:hAnsi="Times New Roman"/>
          <w:i/>
          <w:szCs w:val="28"/>
        </w:rPr>
        <w:t>IV</w:t>
      </w:r>
      <w:r w:rsidR="006F13EB" w:rsidRPr="00FD1023">
        <w:rPr>
          <w:rFonts w:ascii="Times New Roman" w:hAnsi="Times New Roman"/>
          <w:i/>
          <w:szCs w:val="28"/>
        </w:rPr>
        <w:t>)</w:t>
      </w:r>
      <w:r w:rsidR="00E74A2E" w:rsidRPr="00FD1023">
        <w:rPr>
          <w:rFonts w:ascii="Times New Roman" w:hAnsi="Times New Roman"/>
          <w:i/>
          <w:szCs w:val="28"/>
        </w:rPr>
        <w:t>.</w:t>
      </w:r>
    </w:p>
    <w:p w14:paraId="5D442555" w14:textId="7FE50DB5" w:rsidR="0003115B" w:rsidRPr="00FD1023" w:rsidRDefault="0003115B" w:rsidP="007D080B">
      <w:pPr>
        <w:spacing w:after="100"/>
        <w:ind w:firstLine="720"/>
        <w:jc w:val="both"/>
      </w:pPr>
      <w:r w:rsidRPr="00FD1023">
        <w:rPr>
          <w:i/>
        </w:rPr>
        <w:t xml:space="preserve">(5) Kết quả thực hiện các chỉ tiêu cụ thể về cải cách TTHC tại </w:t>
      </w:r>
      <w:r w:rsidRPr="00FD1023" w:rsidDel="0067281D">
        <w:rPr>
          <w:i/>
        </w:rPr>
        <w:t xml:space="preserve">Nghị quyết </w:t>
      </w:r>
      <w:r w:rsidRPr="00FD1023">
        <w:rPr>
          <w:i/>
        </w:rPr>
        <w:br/>
        <w:t xml:space="preserve">số 01/NQ-CP ngày 06/01/2023 </w:t>
      </w:r>
      <w:r w:rsidRPr="00FD1023" w:rsidDel="0067281D">
        <w:rPr>
          <w:i/>
        </w:rPr>
        <w:t>của Chính phủ</w:t>
      </w:r>
      <w:r w:rsidRPr="00FD1023">
        <w:t>:</w:t>
      </w:r>
    </w:p>
    <w:p w14:paraId="2D204D13" w14:textId="687363D9" w:rsidR="0003115B" w:rsidRPr="009B007F" w:rsidRDefault="007B5BC3" w:rsidP="007D080B">
      <w:pPr>
        <w:pStyle w:val="NormalWeb"/>
        <w:shd w:val="clear" w:color="auto" w:fill="FFFFFF"/>
        <w:spacing w:before="0" w:beforeAutospacing="0" w:afterAutospacing="0"/>
        <w:ind w:firstLine="709"/>
        <w:jc w:val="both"/>
        <w:rPr>
          <w:b/>
          <w:sz w:val="28"/>
          <w:szCs w:val="28"/>
        </w:rPr>
      </w:pPr>
      <w:r w:rsidRPr="009B007F">
        <w:rPr>
          <w:bCs/>
          <w:color w:val="000000" w:themeColor="text1"/>
          <w:sz w:val="28"/>
          <w:szCs w:val="28"/>
        </w:rPr>
        <w:t xml:space="preserve">Trong năm 2023, </w:t>
      </w:r>
      <w:r w:rsidR="00042135" w:rsidRPr="009B007F">
        <w:rPr>
          <w:bCs/>
          <w:color w:val="000000" w:themeColor="text1"/>
          <w:sz w:val="28"/>
          <w:szCs w:val="28"/>
        </w:rPr>
        <w:t xml:space="preserve">Chính phủ giao các bộ, ngành, địa phương thực hiện </w:t>
      </w:r>
      <w:r w:rsidRPr="009B007F">
        <w:rPr>
          <w:b/>
          <w:bCs/>
          <w:color w:val="000000" w:themeColor="text1"/>
          <w:sz w:val="28"/>
          <w:szCs w:val="28"/>
        </w:rPr>
        <w:t>08</w:t>
      </w:r>
      <w:r w:rsidRPr="009B007F">
        <w:rPr>
          <w:bCs/>
          <w:color w:val="000000" w:themeColor="text1"/>
          <w:sz w:val="28"/>
          <w:szCs w:val="28"/>
        </w:rPr>
        <w:t xml:space="preserve"> chỉ tiêu </w:t>
      </w:r>
      <w:r w:rsidR="00042135" w:rsidRPr="009B007F">
        <w:rPr>
          <w:bCs/>
          <w:color w:val="000000" w:themeColor="text1"/>
          <w:sz w:val="28"/>
          <w:szCs w:val="28"/>
        </w:rPr>
        <w:t xml:space="preserve">cụ thể </w:t>
      </w:r>
      <w:r w:rsidRPr="009B007F">
        <w:rPr>
          <w:bCs/>
          <w:color w:val="000000" w:themeColor="text1"/>
          <w:sz w:val="28"/>
          <w:szCs w:val="28"/>
        </w:rPr>
        <w:t>về cải cách TTHC</w:t>
      </w:r>
      <w:r w:rsidR="00042135" w:rsidRPr="009B007F">
        <w:rPr>
          <w:bCs/>
          <w:color w:val="000000" w:themeColor="text1"/>
          <w:sz w:val="28"/>
          <w:szCs w:val="28"/>
        </w:rPr>
        <w:t xml:space="preserve">, </w:t>
      </w:r>
      <w:r w:rsidRPr="009B007F">
        <w:rPr>
          <w:bCs/>
          <w:color w:val="000000" w:themeColor="text1"/>
          <w:sz w:val="28"/>
          <w:szCs w:val="28"/>
        </w:rPr>
        <w:t xml:space="preserve">trong đó: </w:t>
      </w:r>
      <w:r w:rsidRPr="009B007F">
        <w:rPr>
          <w:b/>
          <w:bCs/>
          <w:color w:val="000000" w:themeColor="text1"/>
          <w:sz w:val="28"/>
          <w:szCs w:val="28"/>
        </w:rPr>
        <w:t>03/08</w:t>
      </w:r>
      <w:r w:rsidRPr="009B007F">
        <w:rPr>
          <w:bCs/>
          <w:color w:val="000000" w:themeColor="text1"/>
          <w:sz w:val="28"/>
          <w:szCs w:val="28"/>
        </w:rPr>
        <w:t xml:space="preserve"> chỉ tiêu vượt mục tiêu đề ra </w:t>
      </w:r>
      <w:r w:rsidRPr="009B007F">
        <w:rPr>
          <w:bCs/>
          <w:i/>
          <w:color w:val="000000" w:themeColor="text1"/>
          <w:sz w:val="28"/>
          <w:szCs w:val="28"/>
        </w:rPr>
        <w:t>(</w:t>
      </w:r>
      <w:r w:rsidR="00FD1023" w:rsidRPr="009B007F">
        <w:rPr>
          <w:bCs/>
          <w:i/>
          <w:color w:val="000000" w:themeColor="text1"/>
          <w:sz w:val="28"/>
          <w:szCs w:val="28"/>
        </w:rPr>
        <w:t xml:space="preserve">như: </w:t>
      </w:r>
      <w:r w:rsidRPr="009B007F">
        <w:rPr>
          <w:i/>
          <w:noProof/>
          <w:sz w:val="28"/>
          <w:szCs w:val="28"/>
        </w:rPr>
        <w:t xml:space="preserve">Tỷ lệ cung cấp dịch vụ công trực tuyến toàn trình trên Cổng DVCQG </w:t>
      </w:r>
      <w:r w:rsidR="00086B29" w:rsidRPr="009B007F">
        <w:rPr>
          <w:i/>
          <w:noProof/>
          <w:sz w:val="28"/>
          <w:szCs w:val="28"/>
        </w:rPr>
        <w:t>vượt 8,6</w:t>
      </w:r>
      <w:r w:rsidRPr="009B007F">
        <w:rPr>
          <w:i/>
          <w:noProof/>
          <w:sz w:val="28"/>
          <w:szCs w:val="28"/>
        </w:rPr>
        <w:t>%</w:t>
      </w:r>
      <w:r w:rsidR="00086B29" w:rsidRPr="009B007F">
        <w:rPr>
          <w:i/>
          <w:noProof/>
          <w:sz w:val="28"/>
          <w:szCs w:val="28"/>
        </w:rPr>
        <w:t xml:space="preserve"> so với mục tiêu phấn đấu 40%</w:t>
      </w:r>
      <w:r w:rsidR="008F6B53" w:rsidRPr="009B007F">
        <w:rPr>
          <w:i/>
          <w:noProof/>
          <w:sz w:val="28"/>
          <w:szCs w:val="28"/>
        </w:rPr>
        <w:t>;</w:t>
      </w:r>
      <w:r w:rsidRPr="009B007F">
        <w:rPr>
          <w:i/>
          <w:noProof/>
          <w:sz w:val="28"/>
          <w:szCs w:val="28"/>
        </w:rPr>
        <w:t xml:space="preserve"> </w:t>
      </w:r>
      <w:r w:rsidR="00086B29" w:rsidRPr="009B007F">
        <w:rPr>
          <w:i/>
          <w:noProof/>
          <w:sz w:val="28"/>
          <w:szCs w:val="28"/>
        </w:rPr>
        <w:t>Tỷ lệ TTHC có yêu cầu nghĩa vụ tài chính được thanh toán trực tuyến trên Cổng DVCQG vượt 12% so với mục tiêu phấn đấu 60%</w:t>
      </w:r>
      <w:r w:rsidR="008F6B53" w:rsidRPr="009B007F">
        <w:rPr>
          <w:i/>
          <w:noProof/>
          <w:sz w:val="28"/>
          <w:szCs w:val="28"/>
        </w:rPr>
        <w:t>;...</w:t>
      </w:r>
      <w:r w:rsidR="00086B29" w:rsidRPr="009B007F">
        <w:rPr>
          <w:i/>
          <w:noProof/>
          <w:sz w:val="28"/>
          <w:szCs w:val="28"/>
        </w:rPr>
        <w:t>)</w:t>
      </w:r>
      <w:r w:rsidR="00086B29" w:rsidRPr="009B007F">
        <w:rPr>
          <w:noProof/>
          <w:sz w:val="28"/>
          <w:szCs w:val="28"/>
        </w:rPr>
        <w:t>;</w:t>
      </w:r>
      <w:r w:rsidRPr="009B007F">
        <w:rPr>
          <w:bCs/>
          <w:color w:val="000000" w:themeColor="text1"/>
          <w:sz w:val="28"/>
          <w:szCs w:val="28"/>
        </w:rPr>
        <w:t xml:space="preserve"> </w:t>
      </w:r>
      <w:r w:rsidR="00086B29" w:rsidRPr="009B007F">
        <w:rPr>
          <w:bCs/>
          <w:color w:val="000000" w:themeColor="text1"/>
          <w:sz w:val="28"/>
          <w:szCs w:val="28"/>
        </w:rPr>
        <w:t xml:space="preserve">có </w:t>
      </w:r>
      <w:r w:rsidRPr="009B007F">
        <w:rPr>
          <w:b/>
          <w:bCs/>
          <w:color w:val="000000" w:themeColor="text1"/>
          <w:sz w:val="28"/>
          <w:szCs w:val="28"/>
        </w:rPr>
        <w:t>05/08</w:t>
      </w:r>
      <w:r w:rsidRPr="009B007F">
        <w:rPr>
          <w:bCs/>
          <w:color w:val="000000" w:themeColor="text1"/>
          <w:sz w:val="28"/>
          <w:szCs w:val="28"/>
        </w:rPr>
        <w:t xml:space="preserve"> chỉ tiêu chưa đạt, </w:t>
      </w:r>
      <w:r w:rsidR="00086B29" w:rsidRPr="009B007F">
        <w:rPr>
          <w:bCs/>
          <w:color w:val="000000" w:themeColor="text1"/>
          <w:sz w:val="28"/>
          <w:szCs w:val="28"/>
        </w:rPr>
        <w:t xml:space="preserve">thậm chí rất thấp </w:t>
      </w:r>
      <w:r w:rsidR="00086B29" w:rsidRPr="009B007F">
        <w:rPr>
          <w:bCs/>
          <w:i/>
          <w:color w:val="000000" w:themeColor="text1"/>
          <w:sz w:val="28"/>
          <w:szCs w:val="28"/>
        </w:rPr>
        <w:t>(</w:t>
      </w:r>
      <w:r w:rsidR="00FD1023" w:rsidRPr="009B007F">
        <w:rPr>
          <w:bCs/>
          <w:i/>
          <w:color w:val="000000" w:themeColor="text1"/>
          <w:sz w:val="28"/>
          <w:szCs w:val="28"/>
        </w:rPr>
        <w:t xml:space="preserve">như: </w:t>
      </w:r>
      <w:r w:rsidR="00086B29" w:rsidRPr="009B007F">
        <w:rPr>
          <w:i/>
          <w:noProof/>
          <w:sz w:val="28"/>
          <w:szCs w:val="28"/>
        </w:rPr>
        <w:t xml:space="preserve">Tỷ lệ cung cấp thanh toán trực tuyến đối với các khoản thuế nội địa của doanh nghiệp trên Cổng DVCQG </w:t>
      </w:r>
      <w:r w:rsidR="00414B0E" w:rsidRPr="009B007F">
        <w:rPr>
          <w:i/>
          <w:noProof/>
          <w:sz w:val="28"/>
          <w:szCs w:val="28"/>
        </w:rPr>
        <w:t xml:space="preserve">đạt </w:t>
      </w:r>
      <w:r w:rsidR="00086B29" w:rsidRPr="009B007F">
        <w:rPr>
          <w:i/>
          <w:noProof/>
          <w:sz w:val="28"/>
          <w:szCs w:val="28"/>
        </w:rPr>
        <w:t>0% so với chỉ tiêu phấn đấu 100%; Tỷ lệ các trường đại học, cao đẳng, trung cấp, các bệnh viện từ hạng 2 trở lên cung cấp thanh toán viện phí, học phí trực tuyến trên Cổng DVCQG</w:t>
      </w:r>
      <w:r w:rsidR="00414B0E" w:rsidRPr="009B007F">
        <w:rPr>
          <w:i/>
          <w:noProof/>
          <w:sz w:val="28"/>
          <w:szCs w:val="28"/>
        </w:rPr>
        <w:t xml:space="preserve"> đạt 1,5% so với chỉ tiêu phấn đấu 50%;</w:t>
      </w:r>
      <w:r w:rsidR="00086B29" w:rsidRPr="009B007F">
        <w:rPr>
          <w:i/>
          <w:noProof/>
          <w:sz w:val="28"/>
          <w:szCs w:val="28"/>
        </w:rPr>
        <w:t xml:space="preserve"> </w:t>
      </w:r>
      <w:r w:rsidR="00414B0E" w:rsidRPr="009B007F">
        <w:rPr>
          <w:i/>
          <w:noProof/>
          <w:sz w:val="28"/>
          <w:szCs w:val="28"/>
        </w:rPr>
        <w:t xml:space="preserve">Tỷ lệ dự thảo VBQPPL có quy định liên quan đến hoạt động kinh doanh được tham vấn, lấy ý kiến trên </w:t>
      </w:r>
      <w:r w:rsidR="00414B0E" w:rsidRPr="009B007F">
        <w:rPr>
          <w:i/>
          <w:sz w:val="28"/>
          <w:szCs w:val="28"/>
        </w:rPr>
        <w:t>Cổng tham vấn và tra cứu quy định kinh doanh đạt 5% so với chỉ tiêu phấn đấu 100%)</w:t>
      </w:r>
      <w:r w:rsidRPr="009B007F">
        <w:rPr>
          <w:bCs/>
          <w:color w:val="000000" w:themeColor="text1"/>
          <w:sz w:val="28"/>
          <w:szCs w:val="28"/>
        </w:rPr>
        <w:t xml:space="preserve"> </w:t>
      </w:r>
      <w:r w:rsidR="007311CF" w:rsidRPr="009B007F">
        <w:rPr>
          <w:i/>
          <w:sz w:val="28"/>
          <w:szCs w:val="28"/>
        </w:rPr>
        <w:t>(Chi tiết tại Phụ lục V).</w:t>
      </w:r>
    </w:p>
    <w:p w14:paraId="7716BEBE" w14:textId="2A55801B" w:rsidR="000C1F78" w:rsidRPr="00FD1023" w:rsidRDefault="00D042E7" w:rsidP="007D080B">
      <w:pPr>
        <w:shd w:val="clear" w:color="auto" w:fill="FFFFFF"/>
        <w:spacing w:after="100"/>
        <w:ind w:firstLine="720"/>
        <w:jc w:val="both"/>
        <w:rPr>
          <w:b/>
        </w:rPr>
      </w:pPr>
      <w:r w:rsidRPr="00FD1023">
        <w:rPr>
          <w:b/>
        </w:rPr>
        <w:t>3</w:t>
      </w:r>
      <w:r w:rsidR="000C1F78" w:rsidRPr="00FD1023">
        <w:rPr>
          <w:b/>
        </w:rPr>
        <w:t xml:space="preserve">. </w:t>
      </w:r>
      <w:r w:rsidR="00021F5D" w:rsidRPr="00FD1023">
        <w:rPr>
          <w:b/>
        </w:rPr>
        <w:t>Về k</w:t>
      </w:r>
      <w:r w:rsidR="00D0412E" w:rsidRPr="00FD1023">
        <w:rPr>
          <w:b/>
        </w:rPr>
        <w:t xml:space="preserve">ết quả </w:t>
      </w:r>
      <w:r w:rsidR="00021F5D" w:rsidRPr="00FD1023">
        <w:rPr>
          <w:b/>
        </w:rPr>
        <w:t xml:space="preserve">đánh giá </w:t>
      </w:r>
      <w:r w:rsidR="000C1F78" w:rsidRPr="00FD1023">
        <w:rPr>
          <w:b/>
        </w:rPr>
        <w:t>việc thực hiện TTHC</w:t>
      </w:r>
      <w:r w:rsidR="00D0412E" w:rsidRPr="00020E7F">
        <w:rPr>
          <w:rStyle w:val="FootnoteReference"/>
          <w:b/>
        </w:rPr>
        <w:footnoteReference w:id="27"/>
      </w:r>
    </w:p>
    <w:p w14:paraId="1F4C7804" w14:textId="32F1366D" w:rsidR="00CC118E" w:rsidRPr="00FD1023" w:rsidRDefault="00CC118E" w:rsidP="007D080B">
      <w:pPr>
        <w:pStyle w:val="BodyTextIndent"/>
        <w:tabs>
          <w:tab w:val="left" w:pos="840"/>
        </w:tabs>
        <w:spacing w:after="100"/>
        <w:ind w:right="0"/>
        <w:rPr>
          <w:rFonts w:ascii="Times New Roman" w:hAnsi="Times New Roman"/>
          <w:b/>
          <w:i/>
          <w:spacing w:val="-8"/>
          <w:szCs w:val="28"/>
        </w:rPr>
      </w:pPr>
      <w:r w:rsidRPr="00FD1023">
        <w:rPr>
          <w:rFonts w:ascii="Times New Roman" w:hAnsi="Times New Roman"/>
          <w:b/>
          <w:i/>
          <w:szCs w:val="28"/>
        </w:rPr>
        <w:t>a) Chỉ số đánh giá v</w:t>
      </w:r>
      <w:r w:rsidRPr="00FD1023">
        <w:rPr>
          <w:rFonts w:ascii="Times New Roman" w:hAnsi="Times New Roman"/>
          <w:b/>
          <w:i/>
          <w:spacing w:val="-8"/>
          <w:szCs w:val="28"/>
        </w:rPr>
        <w:t>ề công khai, minh bạch trong thực hiện TTHC</w:t>
      </w:r>
    </w:p>
    <w:p w14:paraId="0172A0BF" w14:textId="6014534C" w:rsidR="00F24B80" w:rsidRPr="00FD1023" w:rsidRDefault="00304A19" w:rsidP="007D080B">
      <w:pPr>
        <w:pStyle w:val="BodyTextIndent"/>
        <w:tabs>
          <w:tab w:val="left" w:pos="840"/>
        </w:tabs>
        <w:spacing w:after="100"/>
        <w:ind w:right="0"/>
        <w:rPr>
          <w:rFonts w:ascii="Times New Roman" w:hAnsi="Times New Roman"/>
          <w:szCs w:val="28"/>
          <w:shd w:val="clear" w:color="auto" w:fill="FFFFFF"/>
        </w:rPr>
      </w:pPr>
      <w:r w:rsidRPr="00FD1023">
        <w:rPr>
          <w:rFonts w:ascii="Times New Roman" w:hAnsi="Times New Roman"/>
        </w:rPr>
        <w:t>Trong năm 2023,</w:t>
      </w:r>
      <w:r w:rsidR="00FF71A9" w:rsidRPr="00FD1023">
        <w:rPr>
          <w:rFonts w:ascii="Times New Roman" w:hAnsi="Times New Roman"/>
          <w:szCs w:val="28"/>
        </w:rPr>
        <w:t xml:space="preserve"> </w:t>
      </w:r>
      <w:r w:rsidR="00FF71A9" w:rsidRPr="00FD1023">
        <w:rPr>
          <w:rFonts w:ascii="Times New Roman" w:hAnsi="Times New Roman"/>
          <w:szCs w:val="28"/>
          <w:shd w:val="clear" w:color="auto" w:fill="FFFFFF"/>
        </w:rPr>
        <w:t>tỷ lệ đồng bộ công bố, công khai quá trình giải quyết TTHC của bộ</w:t>
      </w:r>
      <w:r w:rsidR="00F24B80" w:rsidRPr="00FD1023">
        <w:rPr>
          <w:rFonts w:ascii="Times New Roman" w:hAnsi="Times New Roman"/>
          <w:szCs w:val="28"/>
          <w:shd w:val="clear" w:color="auto" w:fill="FFFFFF"/>
        </w:rPr>
        <w:t>,</w:t>
      </w:r>
      <w:r w:rsidR="00FF71A9" w:rsidRPr="00FD1023">
        <w:rPr>
          <w:rFonts w:ascii="Times New Roman" w:hAnsi="Times New Roman"/>
          <w:szCs w:val="28"/>
          <w:shd w:val="clear" w:color="auto" w:fill="FFFFFF"/>
        </w:rPr>
        <w:t xml:space="preserve"> ngành đạt </w:t>
      </w:r>
      <w:r w:rsidR="00FF71A9" w:rsidRPr="00FD1023">
        <w:rPr>
          <w:rFonts w:ascii="Times New Roman" w:hAnsi="Times New Roman"/>
          <w:b/>
          <w:szCs w:val="28"/>
          <w:shd w:val="clear" w:color="auto" w:fill="FFFFFF"/>
        </w:rPr>
        <w:t>6</w:t>
      </w:r>
      <w:r w:rsidR="004E1EC6">
        <w:rPr>
          <w:rFonts w:ascii="Times New Roman" w:hAnsi="Times New Roman"/>
          <w:b/>
          <w:szCs w:val="28"/>
          <w:shd w:val="clear" w:color="auto" w:fill="FFFFFF"/>
        </w:rPr>
        <w:t>2,3</w:t>
      </w:r>
      <w:r w:rsidR="00FF71A9" w:rsidRPr="00FD1023">
        <w:rPr>
          <w:rFonts w:ascii="Times New Roman" w:hAnsi="Times New Roman"/>
          <w:szCs w:val="28"/>
          <w:shd w:val="clear" w:color="auto" w:fill="FFFFFF"/>
        </w:rPr>
        <w:t>%</w:t>
      </w:r>
      <w:r w:rsidR="004E1EC6">
        <w:rPr>
          <w:rFonts w:ascii="Times New Roman" w:hAnsi="Times New Roman"/>
          <w:szCs w:val="28"/>
          <w:shd w:val="clear" w:color="auto" w:fill="FFFFFF"/>
        </w:rPr>
        <w:t xml:space="preserve"> </w:t>
      </w:r>
      <w:r w:rsidR="004E1EC6" w:rsidRPr="004E1EC6">
        <w:rPr>
          <w:rFonts w:ascii="Times New Roman" w:hAnsi="Times New Roman"/>
          <w:szCs w:val="28"/>
          <w:shd w:val="clear" w:color="auto" w:fill="FFFFFF"/>
        </w:rPr>
        <w:t>(52</w:t>
      </w:r>
      <w:r w:rsidR="004E1EC6">
        <w:rPr>
          <w:rFonts w:ascii="Times New Roman" w:hAnsi="Times New Roman"/>
          <w:szCs w:val="28"/>
          <w:shd w:val="clear" w:color="auto" w:fill="FFFFFF"/>
        </w:rPr>
        <w:t>.</w:t>
      </w:r>
      <w:r w:rsidR="004E1EC6" w:rsidRPr="004E1EC6">
        <w:rPr>
          <w:rFonts w:ascii="Times New Roman" w:hAnsi="Times New Roman"/>
          <w:szCs w:val="28"/>
          <w:shd w:val="clear" w:color="auto" w:fill="FFFFFF"/>
        </w:rPr>
        <w:t>100</w:t>
      </w:r>
      <w:r w:rsidR="004E1EC6">
        <w:rPr>
          <w:rFonts w:ascii="Times New Roman" w:hAnsi="Times New Roman"/>
          <w:szCs w:val="28"/>
          <w:shd w:val="clear" w:color="auto" w:fill="FFFFFF"/>
        </w:rPr>
        <w:t>.</w:t>
      </w:r>
      <w:r w:rsidR="004E1EC6" w:rsidRPr="004E1EC6">
        <w:rPr>
          <w:rFonts w:ascii="Times New Roman" w:hAnsi="Times New Roman"/>
          <w:szCs w:val="28"/>
          <w:shd w:val="clear" w:color="auto" w:fill="FFFFFF"/>
        </w:rPr>
        <w:t>131 hồ sơ</w:t>
      </w:r>
      <w:r w:rsidR="004E1EC6">
        <w:rPr>
          <w:rFonts w:ascii="Times New Roman" w:hAnsi="Times New Roman"/>
          <w:szCs w:val="28"/>
          <w:shd w:val="clear" w:color="auto" w:fill="FFFFFF"/>
        </w:rPr>
        <w:t xml:space="preserve"> được đồng bộ</w:t>
      </w:r>
      <w:r w:rsidR="004E1EC6" w:rsidRPr="004E1EC6">
        <w:rPr>
          <w:rFonts w:ascii="Times New Roman" w:hAnsi="Times New Roman"/>
          <w:szCs w:val="28"/>
          <w:shd w:val="clear" w:color="auto" w:fill="FFFFFF"/>
        </w:rPr>
        <w:t xml:space="preserve"> /83.561.863 hồ sơ</w:t>
      </w:r>
      <w:r w:rsidR="004E1EC6">
        <w:rPr>
          <w:rFonts w:ascii="Times New Roman" w:hAnsi="Times New Roman"/>
          <w:szCs w:val="28"/>
          <w:shd w:val="clear" w:color="auto" w:fill="FFFFFF"/>
        </w:rPr>
        <w:t xml:space="preserve"> giải quyết</w:t>
      </w:r>
      <w:r w:rsidR="004E1EC6" w:rsidRPr="004E1EC6">
        <w:rPr>
          <w:rFonts w:ascii="Times New Roman" w:hAnsi="Times New Roman"/>
          <w:szCs w:val="28"/>
          <w:shd w:val="clear" w:color="auto" w:fill="FFFFFF"/>
        </w:rPr>
        <w:t>)</w:t>
      </w:r>
      <w:r w:rsidR="00FF71A9" w:rsidRPr="00FD1023">
        <w:rPr>
          <w:rFonts w:ascii="Times New Roman" w:hAnsi="Times New Roman"/>
          <w:szCs w:val="28"/>
          <w:shd w:val="clear" w:color="auto" w:fill="FFFFFF"/>
        </w:rPr>
        <w:t xml:space="preserve">, địa phương đạt </w:t>
      </w:r>
      <w:r w:rsidR="004E1EC6" w:rsidRPr="004E1EC6">
        <w:rPr>
          <w:rFonts w:ascii="Times New Roman" w:hAnsi="Times New Roman"/>
          <w:b/>
          <w:szCs w:val="28"/>
          <w:shd w:val="clear" w:color="auto" w:fill="FFFFFF"/>
        </w:rPr>
        <w:t>51</w:t>
      </w:r>
      <w:r w:rsidR="00FF71A9" w:rsidRPr="00FD1023">
        <w:rPr>
          <w:rFonts w:ascii="Times New Roman" w:hAnsi="Times New Roman"/>
          <w:szCs w:val="28"/>
          <w:shd w:val="clear" w:color="auto" w:fill="FFFFFF"/>
        </w:rPr>
        <w:t>%</w:t>
      </w:r>
      <w:r w:rsidR="004E1EC6">
        <w:rPr>
          <w:rFonts w:ascii="Times New Roman" w:hAnsi="Times New Roman"/>
          <w:szCs w:val="28"/>
          <w:shd w:val="clear" w:color="auto" w:fill="FFFFFF"/>
        </w:rPr>
        <w:t xml:space="preserve"> </w:t>
      </w:r>
      <w:r w:rsidR="004E1EC6" w:rsidRPr="004E1EC6">
        <w:rPr>
          <w:rFonts w:ascii="Times New Roman" w:hAnsi="Times New Roman"/>
          <w:szCs w:val="28"/>
          <w:shd w:val="clear" w:color="auto" w:fill="FFFFFF"/>
        </w:rPr>
        <w:t>(</w:t>
      </w:r>
      <w:r w:rsidR="004E1EC6">
        <w:rPr>
          <w:rFonts w:ascii="Times New Roman" w:hAnsi="Times New Roman"/>
          <w:szCs w:val="28"/>
          <w:shd w:val="clear" w:color="auto" w:fill="FFFFFF"/>
        </w:rPr>
        <w:t>30.</w:t>
      </w:r>
      <w:r w:rsidR="004E1EC6" w:rsidRPr="004E1EC6">
        <w:rPr>
          <w:rFonts w:ascii="Times New Roman" w:hAnsi="Times New Roman"/>
          <w:szCs w:val="28"/>
          <w:shd w:val="clear" w:color="auto" w:fill="FFFFFF"/>
        </w:rPr>
        <w:t>1</w:t>
      </w:r>
      <w:r w:rsidR="004E1EC6">
        <w:rPr>
          <w:rFonts w:ascii="Times New Roman" w:hAnsi="Times New Roman"/>
          <w:szCs w:val="28"/>
          <w:shd w:val="clear" w:color="auto" w:fill="FFFFFF"/>
        </w:rPr>
        <w:t>7</w:t>
      </w:r>
      <w:r w:rsidR="004E1EC6" w:rsidRPr="004E1EC6">
        <w:rPr>
          <w:rFonts w:ascii="Times New Roman" w:hAnsi="Times New Roman"/>
          <w:szCs w:val="28"/>
          <w:shd w:val="clear" w:color="auto" w:fill="FFFFFF"/>
        </w:rPr>
        <w:t>0</w:t>
      </w:r>
      <w:r w:rsidR="004E1EC6">
        <w:rPr>
          <w:rFonts w:ascii="Times New Roman" w:hAnsi="Times New Roman"/>
          <w:szCs w:val="28"/>
          <w:shd w:val="clear" w:color="auto" w:fill="FFFFFF"/>
        </w:rPr>
        <w:t>.678</w:t>
      </w:r>
      <w:r w:rsidR="004E1EC6" w:rsidRPr="004E1EC6">
        <w:rPr>
          <w:rFonts w:ascii="Times New Roman" w:hAnsi="Times New Roman"/>
          <w:szCs w:val="28"/>
          <w:shd w:val="clear" w:color="auto" w:fill="FFFFFF"/>
        </w:rPr>
        <w:t xml:space="preserve"> hồ sơ</w:t>
      </w:r>
      <w:r w:rsidR="004E1EC6">
        <w:rPr>
          <w:rFonts w:ascii="Times New Roman" w:hAnsi="Times New Roman"/>
          <w:szCs w:val="28"/>
          <w:shd w:val="clear" w:color="auto" w:fill="FFFFFF"/>
        </w:rPr>
        <w:t xml:space="preserve"> được đồng bộ</w:t>
      </w:r>
      <w:r w:rsidR="004E1EC6" w:rsidRPr="004E1EC6">
        <w:rPr>
          <w:rFonts w:ascii="Times New Roman" w:hAnsi="Times New Roman"/>
          <w:szCs w:val="28"/>
          <w:shd w:val="clear" w:color="auto" w:fill="FFFFFF"/>
        </w:rPr>
        <w:t xml:space="preserve"> /</w:t>
      </w:r>
      <w:r w:rsidR="004E1EC6">
        <w:rPr>
          <w:rFonts w:ascii="Times New Roman" w:hAnsi="Times New Roman"/>
          <w:szCs w:val="28"/>
          <w:shd w:val="clear" w:color="auto" w:fill="FFFFFF"/>
        </w:rPr>
        <w:t>59.095.726</w:t>
      </w:r>
      <w:r w:rsidR="004E1EC6" w:rsidRPr="004E1EC6">
        <w:rPr>
          <w:rFonts w:ascii="Times New Roman" w:hAnsi="Times New Roman"/>
          <w:szCs w:val="28"/>
          <w:shd w:val="clear" w:color="auto" w:fill="FFFFFF"/>
        </w:rPr>
        <w:t xml:space="preserve"> hồ sơ</w:t>
      </w:r>
      <w:r w:rsidR="004E1EC6">
        <w:rPr>
          <w:rFonts w:ascii="Times New Roman" w:hAnsi="Times New Roman"/>
          <w:szCs w:val="28"/>
          <w:shd w:val="clear" w:color="auto" w:fill="FFFFFF"/>
        </w:rPr>
        <w:t xml:space="preserve"> giải quyết</w:t>
      </w:r>
      <w:r w:rsidR="004E1EC6" w:rsidRPr="004E1EC6">
        <w:rPr>
          <w:rFonts w:ascii="Times New Roman" w:hAnsi="Times New Roman"/>
          <w:szCs w:val="28"/>
          <w:shd w:val="clear" w:color="auto" w:fill="FFFFFF"/>
        </w:rPr>
        <w:t>)</w:t>
      </w:r>
      <w:r w:rsidR="00FF71A9" w:rsidRPr="00FD1023">
        <w:rPr>
          <w:rFonts w:ascii="Times New Roman" w:hAnsi="Times New Roman"/>
          <w:szCs w:val="28"/>
          <w:shd w:val="clear" w:color="auto" w:fill="FFFFFF"/>
        </w:rPr>
        <w:t>.</w:t>
      </w:r>
      <w:r w:rsidR="00F24B80" w:rsidRPr="00FD1023">
        <w:rPr>
          <w:rFonts w:ascii="Times New Roman" w:hAnsi="Times New Roman"/>
          <w:szCs w:val="28"/>
          <w:shd w:val="clear" w:color="auto" w:fill="FFFFFF"/>
        </w:rPr>
        <w:t xml:space="preserve"> Kết quả này </w:t>
      </w:r>
      <w:r w:rsidR="00F24B80" w:rsidRPr="00FD1023">
        <w:rPr>
          <w:rFonts w:ascii="Times New Roman" w:hAnsi="Times New Roman"/>
        </w:rPr>
        <w:t>đã có sự cải thiện rõ rệt so với năm 2022</w:t>
      </w:r>
      <w:r w:rsidR="00D85505" w:rsidRPr="00FD1023">
        <w:rPr>
          <w:rFonts w:ascii="Times New Roman" w:hAnsi="Times New Roman"/>
        </w:rPr>
        <w:t>; tuy nhiên,</w:t>
      </w:r>
      <w:r w:rsidR="00F24B80" w:rsidRPr="00FD1023">
        <w:rPr>
          <w:rFonts w:ascii="Times New Roman" w:hAnsi="Times New Roman"/>
        </w:rPr>
        <w:t xml:space="preserve"> hầu hết các bộ, ngành, địa phương chưa đáp </w:t>
      </w:r>
      <w:r w:rsidR="00F24B80" w:rsidRPr="00FD1023">
        <w:rPr>
          <w:rFonts w:ascii="Times New Roman" w:hAnsi="Times New Roman"/>
          <w:spacing w:val="-6"/>
        </w:rPr>
        <w:t xml:space="preserve">ứng được yêu cầu của Chính phủ </w:t>
      </w:r>
      <w:r w:rsidR="00F24B80" w:rsidRPr="00FD1023">
        <w:rPr>
          <w:rFonts w:ascii="Times New Roman" w:hAnsi="Times New Roman"/>
          <w:i/>
          <w:spacing w:val="-6"/>
        </w:rPr>
        <w:t>(</w:t>
      </w:r>
      <w:r w:rsidR="00F24B80" w:rsidRPr="00FD1023">
        <w:rPr>
          <w:rFonts w:ascii="Times New Roman" w:hAnsi="Times New Roman"/>
          <w:i/>
        </w:rPr>
        <w:t xml:space="preserve">100% </w:t>
      </w:r>
      <w:r w:rsidR="00F24B80" w:rsidRPr="00FD1023">
        <w:rPr>
          <w:rFonts w:ascii="Times New Roman" w:hAnsi="Times New Roman"/>
          <w:i/>
          <w:lang w:val="en-US"/>
        </w:rPr>
        <w:t>TTHC</w:t>
      </w:r>
      <w:r w:rsidR="00F24B80" w:rsidRPr="00FD1023">
        <w:rPr>
          <w:rFonts w:ascii="Times New Roman" w:hAnsi="Times New Roman"/>
          <w:i/>
        </w:rPr>
        <w:t xml:space="preserve">, hồ sơ </w:t>
      </w:r>
      <w:r w:rsidR="00F24B80" w:rsidRPr="00FD1023">
        <w:rPr>
          <w:rFonts w:ascii="Times New Roman" w:hAnsi="Times New Roman"/>
          <w:i/>
          <w:lang w:val="en-US"/>
        </w:rPr>
        <w:t>TTHC</w:t>
      </w:r>
      <w:r w:rsidR="00F24B80" w:rsidRPr="00FD1023">
        <w:rPr>
          <w:rFonts w:ascii="Times New Roman" w:hAnsi="Times New Roman"/>
          <w:i/>
        </w:rPr>
        <w:t xml:space="preserve"> phải </w:t>
      </w:r>
      <w:r w:rsidR="00F24B80" w:rsidRPr="00FD1023">
        <w:rPr>
          <w:rFonts w:ascii="Times New Roman" w:hAnsi="Times New Roman"/>
          <w:i/>
          <w:spacing w:val="-6"/>
        </w:rPr>
        <w:t>được công khai, minh bạch thông tin để người dân, doanh nghiệp tiếp cận, thực hiện</w:t>
      </w:r>
      <w:r w:rsidR="00F24B80" w:rsidRPr="00FD1023">
        <w:rPr>
          <w:rFonts w:ascii="Times New Roman" w:hAnsi="Times New Roman"/>
          <w:i/>
        </w:rPr>
        <w:t xml:space="preserve"> và theo dõi, giám sát, đánh giá)</w:t>
      </w:r>
      <w:r w:rsidR="00D85505" w:rsidRPr="00FD1023">
        <w:rPr>
          <w:rFonts w:ascii="Times New Roman" w:hAnsi="Times New Roman"/>
        </w:rPr>
        <w:t>,</w:t>
      </w:r>
      <w:r w:rsidR="00F24B80" w:rsidRPr="00FD1023">
        <w:rPr>
          <w:rFonts w:ascii="Times New Roman" w:hAnsi="Times New Roman"/>
          <w:spacing w:val="-6"/>
        </w:rPr>
        <w:t xml:space="preserve"> nhất là các bộ, ngành đạt tỷ lệ thấp, ảnh hưởng</w:t>
      </w:r>
      <w:r w:rsidR="00F24B80" w:rsidRPr="00FD1023">
        <w:rPr>
          <w:rFonts w:ascii="Times New Roman" w:hAnsi="Times New Roman"/>
        </w:rPr>
        <w:t xml:space="preserve"> rất lớn đến việc tổ chức thực hiện </w:t>
      </w:r>
      <w:r w:rsidR="00D85505" w:rsidRPr="00FD1023">
        <w:rPr>
          <w:rFonts w:ascii="Times New Roman" w:hAnsi="Times New Roman"/>
          <w:lang w:val="en-US"/>
        </w:rPr>
        <w:t>TTHC</w:t>
      </w:r>
      <w:r w:rsidR="00F24B80" w:rsidRPr="00FD1023">
        <w:rPr>
          <w:rFonts w:ascii="Times New Roman" w:hAnsi="Times New Roman"/>
        </w:rPr>
        <w:t xml:space="preserve"> tại địa phương.</w:t>
      </w:r>
    </w:p>
    <w:p w14:paraId="783FCC82" w14:textId="01B30C67" w:rsidR="00CC118E" w:rsidRPr="00FD1023" w:rsidRDefault="00CC118E" w:rsidP="007D080B">
      <w:pPr>
        <w:pStyle w:val="BodyTextIndent"/>
        <w:tabs>
          <w:tab w:val="left" w:pos="840"/>
        </w:tabs>
        <w:spacing w:after="100"/>
        <w:ind w:right="0"/>
        <w:rPr>
          <w:rFonts w:ascii="Times New Roman" w:hAnsi="Times New Roman"/>
          <w:b/>
          <w:i/>
          <w:szCs w:val="28"/>
        </w:rPr>
      </w:pPr>
      <w:r w:rsidRPr="00FD1023">
        <w:rPr>
          <w:rFonts w:ascii="Times New Roman" w:hAnsi="Times New Roman"/>
          <w:b/>
          <w:i/>
          <w:szCs w:val="28"/>
        </w:rPr>
        <w:t>b) Chỉ số đánh giá v</w:t>
      </w:r>
      <w:r w:rsidRPr="00FD1023">
        <w:rPr>
          <w:rFonts w:ascii="Times New Roman" w:hAnsi="Times New Roman"/>
          <w:b/>
          <w:i/>
          <w:spacing w:val="-8"/>
          <w:szCs w:val="28"/>
        </w:rPr>
        <w:t xml:space="preserve">ề </w:t>
      </w:r>
      <w:r w:rsidRPr="00FD1023">
        <w:rPr>
          <w:rFonts w:ascii="Times New Roman" w:hAnsi="Times New Roman"/>
          <w:b/>
          <w:i/>
          <w:szCs w:val="28"/>
        </w:rPr>
        <w:t>tiến độ, kết quả giải quyết TTHC</w:t>
      </w:r>
    </w:p>
    <w:p w14:paraId="7C0C0CFB" w14:textId="7F92B6B9" w:rsidR="00D85505" w:rsidRPr="00FD1023" w:rsidRDefault="00D85505" w:rsidP="007D080B">
      <w:pPr>
        <w:pStyle w:val="BodyTextIndent"/>
        <w:tabs>
          <w:tab w:val="left" w:pos="840"/>
        </w:tabs>
        <w:spacing w:after="100"/>
        <w:ind w:right="0"/>
        <w:rPr>
          <w:rFonts w:ascii="Times New Roman" w:hAnsi="Times New Roman"/>
          <w:szCs w:val="28"/>
        </w:rPr>
      </w:pPr>
      <w:r w:rsidRPr="00FD1023">
        <w:rPr>
          <w:rFonts w:ascii="Times New Roman" w:hAnsi="Times New Roman"/>
          <w:szCs w:val="28"/>
        </w:rPr>
        <w:t>T</w:t>
      </w:r>
      <w:r w:rsidR="00FF71A9" w:rsidRPr="00FD1023">
        <w:rPr>
          <w:rFonts w:ascii="Times New Roman" w:hAnsi="Times New Roman"/>
          <w:szCs w:val="28"/>
        </w:rPr>
        <w:t xml:space="preserve">rong năm 2023, kết quả </w:t>
      </w:r>
      <w:r w:rsidRPr="00FD1023">
        <w:rPr>
          <w:rFonts w:ascii="Times New Roman" w:hAnsi="Times New Roman"/>
          <w:szCs w:val="28"/>
        </w:rPr>
        <w:t xml:space="preserve">giải quyết hồ sơ TTHC đúng hoặc sớm hạn </w:t>
      </w:r>
      <w:r w:rsidR="00FF71A9" w:rsidRPr="00FD1023">
        <w:rPr>
          <w:rFonts w:ascii="Times New Roman" w:hAnsi="Times New Roman"/>
          <w:szCs w:val="28"/>
        </w:rPr>
        <w:t>tại bộ, ngành đạt</w:t>
      </w:r>
      <w:r w:rsidR="00FF71A9" w:rsidRPr="00FD1023">
        <w:rPr>
          <w:rFonts w:ascii="Times New Roman" w:hAnsi="Times New Roman"/>
          <w:i/>
          <w:szCs w:val="28"/>
        </w:rPr>
        <w:t xml:space="preserve"> </w:t>
      </w:r>
      <w:r w:rsidR="00FF71A9" w:rsidRPr="00FD1023">
        <w:rPr>
          <w:rFonts w:ascii="Times New Roman" w:hAnsi="Times New Roman"/>
          <w:b/>
          <w:szCs w:val="28"/>
        </w:rPr>
        <w:t>50,6</w:t>
      </w:r>
      <w:r w:rsidR="00FF71A9" w:rsidRPr="00FD1023">
        <w:rPr>
          <w:rFonts w:ascii="Times New Roman" w:hAnsi="Times New Roman"/>
          <w:szCs w:val="28"/>
        </w:rPr>
        <w:t xml:space="preserve">% </w:t>
      </w:r>
      <w:r w:rsidR="00FF71A9" w:rsidRPr="00E24EA4">
        <w:rPr>
          <w:rFonts w:ascii="Times New Roman" w:hAnsi="Times New Roman"/>
          <w:szCs w:val="28"/>
        </w:rPr>
        <w:t>(</w:t>
      </w:r>
      <w:r w:rsidR="00E24EA4" w:rsidRPr="00E24EA4">
        <w:rPr>
          <w:szCs w:val="28"/>
        </w:rPr>
        <w:t xml:space="preserve">26.545.368 hồ sơ đúng, sớm hạn /52.461.202 hồ sơ giải quyết, </w:t>
      </w:r>
      <w:r w:rsidR="00FF71A9" w:rsidRPr="00E24EA4">
        <w:rPr>
          <w:rFonts w:ascii="Times New Roman" w:hAnsi="Times New Roman"/>
          <w:szCs w:val="28"/>
        </w:rPr>
        <w:t>tăng 3,8% so với năm 2022)</w:t>
      </w:r>
      <w:r w:rsidRPr="00FD1023">
        <w:rPr>
          <w:rFonts w:ascii="Times New Roman" w:hAnsi="Times New Roman"/>
          <w:szCs w:val="28"/>
        </w:rPr>
        <w:t xml:space="preserve">; tại các địa phương đạt </w:t>
      </w:r>
      <w:r w:rsidRPr="00FD1023">
        <w:rPr>
          <w:rFonts w:ascii="Times New Roman" w:hAnsi="Times New Roman"/>
          <w:b/>
          <w:szCs w:val="28"/>
        </w:rPr>
        <w:t>90,75</w:t>
      </w:r>
      <w:r w:rsidRPr="00FD1023">
        <w:rPr>
          <w:rFonts w:ascii="Times New Roman" w:hAnsi="Times New Roman"/>
          <w:szCs w:val="28"/>
        </w:rPr>
        <w:t>%</w:t>
      </w:r>
      <w:r w:rsidR="000554B5">
        <w:rPr>
          <w:rFonts w:ascii="Times New Roman" w:hAnsi="Times New Roman"/>
          <w:szCs w:val="28"/>
        </w:rPr>
        <w:t xml:space="preserve"> </w:t>
      </w:r>
      <w:r w:rsidR="000554B5" w:rsidRPr="00E24EA4">
        <w:rPr>
          <w:rFonts w:ascii="Times New Roman" w:hAnsi="Times New Roman"/>
          <w:szCs w:val="28"/>
        </w:rPr>
        <w:t>(</w:t>
      </w:r>
      <w:r w:rsidR="000554B5" w:rsidRPr="006700D5">
        <w:rPr>
          <w:szCs w:val="28"/>
        </w:rPr>
        <w:t>27.379.890</w:t>
      </w:r>
      <w:r w:rsidR="000554B5">
        <w:rPr>
          <w:szCs w:val="28"/>
        </w:rPr>
        <w:t xml:space="preserve"> </w:t>
      </w:r>
      <w:r w:rsidR="000554B5" w:rsidRPr="00E24EA4">
        <w:rPr>
          <w:szCs w:val="28"/>
        </w:rPr>
        <w:t>hồ sơ đúng, sớm hạn /</w:t>
      </w:r>
      <w:r w:rsidR="000554B5" w:rsidRPr="006700D5">
        <w:rPr>
          <w:szCs w:val="28"/>
        </w:rPr>
        <w:t>30.170.678</w:t>
      </w:r>
      <w:r w:rsidR="000554B5" w:rsidRPr="00E24EA4">
        <w:rPr>
          <w:szCs w:val="28"/>
        </w:rPr>
        <w:t xml:space="preserve"> hồ sơ giải quyết, </w:t>
      </w:r>
      <w:r w:rsidR="000554B5" w:rsidRPr="006700D5">
        <w:rPr>
          <w:szCs w:val="28"/>
        </w:rPr>
        <w:t>giảm 1,61</w:t>
      </w:r>
      <w:r w:rsidR="000554B5">
        <w:rPr>
          <w:szCs w:val="28"/>
        </w:rPr>
        <w:t xml:space="preserve">% </w:t>
      </w:r>
      <w:r w:rsidR="000554B5" w:rsidRPr="00E24EA4">
        <w:rPr>
          <w:rFonts w:ascii="Times New Roman" w:hAnsi="Times New Roman"/>
          <w:szCs w:val="28"/>
        </w:rPr>
        <w:t>so với năm 2022)</w:t>
      </w:r>
      <w:r w:rsidRPr="00FD1023">
        <w:rPr>
          <w:rFonts w:ascii="Times New Roman" w:hAnsi="Times New Roman"/>
          <w:szCs w:val="28"/>
        </w:rPr>
        <w:t>. Mặc dù</w:t>
      </w:r>
      <w:r w:rsidRPr="00FD1023">
        <w:rPr>
          <w:rFonts w:ascii="Times New Roman" w:hAnsi="Times New Roman"/>
          <w:spacing w:val="-8"/>
          <w:szCs w:val="28"/>
        </w:rPr>
        <w:t xml:space="preserve">, chất lượng giải quyết TTHC đã có sự cải thiện so với năm 2022, tuy nhiên tại bộ, ngành vẫn còn thấp so với mục tiêu của Chính phủ </w:t>
      </w:r>
      <w:r w:rsidR="00917D6E" w:rsidRPr="00FD1023">
        <w:rPr>
          <w:rFonts w:ascii="Times New Roman" w:hAnsi="Times New Roman"/>
          <w:spacing w:val="-8"/>
          <w:szCs w:val="28"/>
        </w:rPr>
        <w:t xml:space="preserve">đề ra </w:t>
      </w:r>
      <w:r w:rsidRPr="00FD1023">
        <w:rPr>
          <w:rFonts w:ascii="Times New Roman" w:hAnsi="Times New Roman"/>
          <w:spacing w:val="-8"/>
          <w:szCs w:val="28"/>
        </w:rPr>
        <w:t>(</w:t>
      </w:r>
      <w:r w:rsidRPr="00FD1023">
        <w:rPr>
          <w:rFonts w:ascii="Times New Roman" w:hAnsi="Times New Roman"/>
          <w:i/>
          <w:szCs w:val="28"/>
        </w:rPr>
        <w:t xml:space="preserve">tối thiểu 90% hồ sơ </w:t>
      </w:r>
      <w:r w:rsidRPr="00FD1023">
        <w:rPr>
          <w:rFonts w:ascii="Times New Roman" w:hAnsi="Times New Roman"/>
          <w:i/>
          <w:szCs w:val="28"/>
          <w:lang w:val="en-US"/>
        </w:rPr>
        <w:t>TTHC</w:t>
      </w:r>
      <w:r w:rsidRPr="00FD1023">
        <w:rPr>
          <w:rFonts w:ascii="Times New Roman" w:hAnsi="Times New Roman"/>
          <w:i/>
          <w:szCs w:val="28"/>
        </w:rPr>
        <w:t xml:space="preserve"> trở lên giải quyết đúng hoặc sớm hạn)</w:t>
      </w:r>
      <w:r w:rsidRPr="00FD1023">
        <w:rPr>
          <w:rFonts w:ascii="Times New Roman" w:hAnsi="Times New Roman"/>
          <w:szCs w:val="28"/>
        </w:rPr>
        <w:t xml:space="preserve">. </w:t>
      </w:r>
    </w:p>
    <w:p w14:paraId="7FC269FF" w14:textId="2EEEF133" w:rsidR="00CC118E" w:rsidRPr="00FD1023" w:rsidRDefault="00CC118E" w:rsidP="006460B3">
      <w:pPr>
        <w:pStyle w:val="BodyTextIndent"/>
        <w:tabs>
          <w:tab w:val="left" w:pos="840"/>
        </w:tabs>
        <w:spacing w:after="100"/>
        <w:ind w:right="0"/>
        <w:rPr>
          <w:rFonts w:ascii="Times New Roman" w:hAnsi="Times New Roman"/>
          <w:b/>
          <w:bCs/>
          <w:i/>
          <w:szCs w:val="28"/>
        </w:rPr>
      </w:pPr>
      <w:r w:rsidRPr="00FD1023">
        <w:rPr>
          <w:rFonts w:ascii="Times New Roman" w:hAnsi="Times New Roman"/>
          <w:b/>
          <w:i/>
          <w:szCs w:val="28"/>
        </w:rPr>
        <w:lastRenderedPageBreak/>
        <w:t>c) Chỉ số đánh giá v</w:t>
      </w:r>
      <w:r w:rsidRPr="00FD1023">
        <w:rPr>
          <w:rFonts w:ascii="Times New Roman" w:hAnsi="Times New Roman"/>
          <w:b/>
          <w:i/>
          <w:spacing w:val="-8"/>
          <w:szCs w:val="28"/>
        </w:rPr>
        <w:t xml:space="preserve">ề </w:t>
      </w:r>
      <w:r w:rsidRPr="00FD1023">
        <w:rPr>
          <w:rFonts w:ascii="Times New Roman" w:hAnsi="Times New Roman"/>
          <w:b/>
          <w:bCs/>
          <w:i/>
          <w:szCs w:val="28"/>
        </w:rPr>
        <w:t xml:space="preserve">cung cấp dịch vụ </w:t>
      </w:r>
      <w:r w:rsidR="00021F5D" w:rsidRPr="00FD1023">
        <w:rPr>
          <w:rFonts w:ascii="Times New Roman" w:hAnsi="Times New Roman"/>
          <w:b/>
          <w:bCs/>
          <w:i/>
          <w:szCs w:val="28"/>
        </w:rPr>
        <w:t xml:space="preserve">công </w:t>
      </w:r>
      <w:r w:rsidRPr="00FD1023">
        <w:rPr>
          <w:rFonts w:ascii="Times New Roman" w:hAnsi="Times New Roman"/>
          <w:b/>
          <w:bCs/>
          <w:i/>
          <w:szCs w:val="28"/>
        </w:rPr>
        <w:t>trực tuyến</w:t>
      </w:r>
    </w:p>
    <w:p w14:paraId="49AE3E3C" w14:textId="06CC7EAD" w:rsidR="00FF71A9" w:rsidRPr="00BE3293" w:rsidRDefault="00FF71A9" w:rsidP="006460B3">
      <w:pPr>
        <w:pStyle w:val="BodyTextIndent"/>
        <w:tabs>
          <w:tab w:val="left" w:pos="840"/>
        </w:tabs>
        <w:spacing w:after="100"/>
        <w:ind w:right="0"/>
        <w:rPr>
          <w:rFonts w:ascii="Times New Roman" w:hAnsi="Times New Roman"/>
          <w:spacing w:val="-4"/>
          <w:szCs w:val="28"/>
          <w:lang w:val="en-US"/>
        </w:rPr>
      </w:pPr>
      <w:r w:rsidRPr="00FD1023">
        <w:rPr>
          <w:rFonts w:ascii="Times New Roman" w:hAnsi="Times New Roman"/>
          <w:spacing w:val="-4"/>
          <w:szCs w:val="28"/>
          <w:lang w:val="en-US"/>
        </w:rPr>
        <w:t xml:space="preserve">Tỷ lệ hồ sơ trực tuyến của bộ, ngành đạt </w:t>
      </w:r>
      <w:r w:rsidR="004E1EC6" w:rsidRPr="004E1EC6">
        <w:rPr>
          <w:rFonts w:ascii="Times New Roman" w:hAnsi="Times New Roman"/>
          <w:b/>
          <w:spacing w:val="-4"/>
          <w:szCs w:val="28"/>
          <w:lang w:val="en-US"/>
        </w:rPr>
        <w:t>30,4</w:t>
      </w:r>
      <w:r w:rsidRPr="00FD1023">
        <w:rPr>
          <w:rFonts w:ascii="Times New Roman" w:hAnsi="Times New Roman"/>
          <w:spacing w:val="-4"/>
          <w:szCs w:val="28"/>
          <w:lang w:val="en-US"/>
        </w:rPr>
        <w:t xml:space="preserve">% </w:t>
      </w:r>
      <w:r w:rsidR="004E1EC6">
        <w:rPr>
          <w:rFonts w:ascii="Times New Roman" w:hAnsi="Times New Roman"/>
          <w:spacing w:val="-4"/>
          <w:szCs w:val="28"/>
          <w:lang w:val="en-US"/>
        </w:rPr>
        <w:t xml:space="preserve">(15.884.481 hồ sơ trực tuyến/ 52.100.131 </w:t>
      </w:r>
      <w:r w:rsidR="00BE3293">
        <w:rPr>
          <w:rFonts w:ascii="Times New Roman" w:hAnsi="Times New Roman"/>
          <w:spacing w:val="-4"/>
          <w:szCs w:val="28"/>
          <w:lang w:val="en-US"/>
        </w:rPr>
        <w:t xml:space="preserve">hồ sơ được đồng </w:t>
      </w:r>
      <w:r w:rsidR="00BE3293" w:rsidRPr="00BE3293">
        <w:rPr>
          <w:rFonts w:ascii="Times New Roman" w:hAnsi="Times New Roman"/>
          <w:spacing w:val="-4"/>
          <w:szCs w:val="28"/>
          <w:lang w:val="en-US"/>
        </w:rPr>
        <w:t xml:space="preserve">bộ, </w:t>
      </w:r>
      <w:r w:rsidRPr="00BE3293">
        <w:rPr>
          <w:rFonts w:ascii="Times New Roman" w:hAnsi="Times New Roman"/>
          <w:spacing w:val="-4"/>
          <w:szCs w:val="28"/>
          <w:lang w:val="en-US"/>
        </w:rPr>
        <w:t>tăng 1,4 lần so với năm 2022)</w:t>
      </w:r>
      <w:r w:rsidR="00BE3293">
        <w:rPr>
          <w:rFonts w:ascii="Times New Roman" w:hAnsi="Times New Roman"/>
          <w:spacing w:val="-4"/>
          <w:szCs w:val="28"/>
          <w:lang w:val="en-US"/>
        </w:rPr>
        <w:t>;</w:t>
      </w:r>
      <w:r w:rsidRPr="00FD1023">
        <w:rPr>
          <w:rFonts w:ascii="Times New Roman" w:hAnsi="Times New Roman"/>
          <w:spacing w:val="-4"/>
          <w:szCs w:val="28"/>
          <w:lang w:val="en-US"/>
        </w:rPr>
        <w:t xml:space="preserve"> địa phương đạt </w:t>
      </w:r>
      <w:r w:rsidRPr="00FD1023">
        <w:rPr>
          <w:rFonts w:ascii="Times New Roman" w:hAnsi="Times New Roman"/>
          <w:b/>
          <w:spacing w:val="-4"/>
          <w:szCs w:val="28"/>
          <w:lang w:val="en-US"/>
        </w:rPr>
        <w:t>3</w:t>
      </w:r>
      <w:r w:rsidR="00BE3293">
        <w:rPr>
          <w:rFonts w:ascii="Times New Roman" w:hAnsi="Times New Roman"/>
          <w:b/>
          <w:spacing w:val="-4"/>
          <w:szCs w:val="28"/>
          <w:lang w:val="en-US"/>
        </w:rPr>
        <w:t>7</w:t>
      </w:r>
      <w:r w:rsidRPr="00FD1023">
        <w:rPr>
          <w:rFonts w:ascii="Times New Roman" w:hAnsi="Times New Roman"/>
          <w:b/>
          <w:spacing w:val="-4"/>
          <w:szCs w:val="28"/>
          <w:lang w:val="en-US"/>
        </w:rPr>
        <w:t>,4</w:t>
      </w:r>
      <w:r w:rsidRPr="00FD1023">
        <w:rPr>
          <w:rFonts w:ascii="Times New Roman" w:hAnsi="Times New Roman"/>
          <w:spacing w:val="-4"/>
          <w:szCs w:val="28"/>
          <w:lang w:val="en-US"/>
        </w:rPr>
        <w:t xml:space="preserve">% </w:t>
      </w:r>
      <w:r w:rsidRPr="00BE3293">
        <w:rPr>
          <w:rFonts w:ascii="Times New Roman" w:hAnsi="Times New Roman"/>
          <w:spacing w:val="-4"/>
          <w:szCs w:val="28"/>
          <w:lang w:val="en-US"/>
        </w:rPr>
        <w:t>(</w:t>
      </w:r>
      <w:r w:rsidR="00BE3293">
        <w:rPr>
          <w:rFonts w:ascii="Times New Roman" w:hAnsi="Times New Roman"/>
          <w:spacing w:val="-4"/>
          <w:szCs w:val="28"/>
          <w:lang w:val="en-US"/>
        </w:rPr>
        <w:t xml:space="preserve">11.285.264 hồ sơ trực tuyến/ </w:t>
      </w:r>
      <w:r w:rsidR="00BE3293">
        <w:rPr>
          <w:rFonts w:ascii="Times New Roman" w:hAnsi="Times New Roman"/>
          <w:szCs w:val="28"/>
          <w:shd w:val="clear" w:color="auto" w:fill="FFFFFF"/>
        </w:rPr>
        <w:t>30.</w:t>
      </w:r>
      <w:r w:rsidR="00BE3293" w:rsidRPr="004E1EC6">
        <w:rPr>
          <w:rFonts w:ascii="Times New Roman" w:hAnsi="Times New Roman"/>
          <w:szCs w:val="28"/>
          <w:shd w:val="clear" w:color="auto" w:fill="FFFFFF"/>
        </w:rPr>
        <w:t>1</w:t>
      </w:r>
      <w:r w:rsidR="00BE3293">
        <w:rPr>
          <w:rFonts w:ascii="Times New Roman" w:hAnsi="Times New Roman"/>
          <w:szCs w:val="28"/>
          <w:shd w:val="clear" w:color="auto" w:fill="FFFFFF"/>
        </w:rPr>
        <w:t>7</w:t>
      </w:r>
      <w:r w:rsidR="00BE3293" w:rsidRPr="004E1EC6">
        <w:rPr>
          <w:rFonts w:ascii="Times New Roman" w:hAnsi="Times New Roman"/>
          <w:szCs w:val="28"/>
          <w:shd w:val="clear" w:color="auto" w:fill="FFFFFF"/>
        </w:rPr>
        <w:t>0</w:t>
      </w:r>
      <w:r w:rsidR="00BE3293">
        <w:rPr>
          <w:rFonts w:ascii="Times New Roman" w:hAnsi="Times New Roman"/>
          <w:szCs w:val="28"/>
          <w:shd w:val="clear" w:color="auto" w:fill="FFFFFF"/>
        </w:rPr>
        <w:t>.678</w:t>
      </w:r>
      <w:r w:rsidR="00BE3293" w:rsidRPr="004E1EC6">
        <w:rPr>
          <w:rFonts w:ascii="Times New Roman" w:hAnsi="Times New Roman"/>
          <w:szCs w:val="28"/>
          <w:shd w:val="clear" w:color="auto" w:fill="FFFFFF"/>
        </w:rPr>
        <w:t xml:space="preserve"> </w:t>
      </w:r>
      <w:r w:rsidR="00BE3293">
        <w:rPr>
          <w:rFonts w:ascii="Times New Roman" w:hAnsi="Times New Roman"/>
          <w:spacing w:val="-4"/>
          <w:szCs w:val="28"/>
          <w:lang w:val="en-US"/>
        </w:rPr>
        <w:t xml:space="preserve">hồ sơ được đồng </w:t>
      </w:r>
      <w:r w:rsidR="00BE3293" w:rsidRPr="00BE3293">
        <w:rPr>
          <w:rFonts w:ascii="Times New Roman" w:hAnsi="Times New Roman"/>
          <w:spacing w:val="-4"/>
          <w:szCs w:val="28"/>
          <w:lang w:val="en-US"/>
        </w:rPr>
        <w:t>bộ</w:t>
      </w:r>
      <w:r w:rsidR="00BE3293">
        <w:rPr>
          <w:rFonts w:ascii="Times New Roman" w:hAnsi="Times New Roman"/>
          <w:spacing w:val="-4"/>
          <w:szCs w:val="28"/>
          <w:lang w:val="en-US"/>
        </w:rPr>
        <w:t>,</w:t>
      </w:r>
      <w:r w:rsidR="00BE3293" w:rsidRPr="00BE3293">
        <w:rPr>
          <w:rFonts w:ascii="Times New Roman" w:hAnsi="Times New Roman"/>
          <w:spacing w:val="-4"/>
          <w:szCs w:val="28"/>
          <w:lang w:val="en-US"/>
        </w:rPr>
        <w:t xml:space="preserve"> </w:t>
      </w:r>
      <w:r w:rsidRPr="00BE3293">
        <w:rPr>
          <w:rFonts w:ascii="Times New Roman" w:hAnsi="Times New Roman"/>
          <w:spacing w:val="-4"/>
          <w:szCs w:val="28"/>
          <w:lang w:val="en-US"/>
        </w:rPr>
        <w:t>tăng 3,7 lần so với năm 2022).</w:t>
      </w:r>
    </w:p>
    <w:p w14:paraId="0DA27310" w14:textId="2201012F" w:rsidR="00917D6E" w:rsidRPr="00FD1023" w:rsidRDefault="00FF71A9" w:rsidP="006460B3">
      <w:pPr>
        <w:pStyle w:val="BodyTextIndent"/>
        <w:tabs>
          <w:tab w:val="left" w:pos="840"/>
        </w:tabs>
        <w:spacing w:after="100"/>
        <w:ind w:right="0"/>
        <w:rPr>
          <w:rFonts w:ascii="Times New Roman" w:hAnsi="Times New Roman"/>
          <w:szCs w:val="28"/>
          <w:lang w:val="en-US"/>
        </w:rPr>
      </w:pPr>
      <w:r w:rsidRPr="00FD1023">
        <w:rPr>
          <w:rFonts w:ascii="Times New Roman" w:hAnsi="Times New Roman"/>
          <w:szCs w:val="28"/>
        </w:rPr>
        <w:t>T</w:t>
      </w:r>
      <w:r w:rsidRPr="00FD1023">
        <w:rPr>
          <w:rFonts w:ascii="Times New Roman" w:hAnsi="Times New Roman"/>
          <w:szCs w:val="28"/>
          <w:lang w:val="vi-VN"/>
        </w:rPr>
        <w:t>ỷ lệ thanh toán trực tuyến</w:t>
      </w:r>
      <w:r w:rsidRPr="00FD1023">
        <w:rPr>
          <w:rFonts w:ascii="Times New Roman" w:hAnsi="Times New Roman"/>
          <w:szCs w:val="28"/>
          <w:lang w:val="en-US"/>
        </w:rPr>
        <w:t xml:space="preserve"> trên Cổng DVCQG </w:t>
      </w:r>
      <w:r w:rsidRPr="00FD1023">
        <w:rPr>
          <w:rFonts w:ascii="Times New Roman" w:hAnsi="Times New Roman"/>
          <w:i/>
          <w:szCs w:val="28"/>
          <w:lang w:val="en-US"/>
        </w:rPr>
        <w:t>(chỉ tiêu năm 2023: 30%)</w:t>
      </w:r>
      <w:r w:rsidR="00917D6E" w:rsidRPr="00FD1023">
        <w:rPr>
          <w:rFonts w:ascii="Times New Roman" w:hAnsi="Times New Roman"/>
          <w:szCs w:val="28"/>
          <w:lang w:val="en-US"/>
        </w:rPr>
        <w:t>:</w:t>
      </w:r>
      <w:r w:rsidRPr="00FD1023">
        <w:rPr>
          <w:rFonts w:ascii="Times New Roman" w:hAnsi="Times New Roman"/>
          <w:szCs w:val="28"/>
          <w:lang w:val="en-US"/>
        </w:rPr>
        <w:t xml:space="preserve"> tại các</w:t>
      </w:r>
      <w:r w:rsidRPr="00FD1023">
        <w:rPr>
          <w:rFonts w:ascii="Times New Roman" w:hAnsi="Times New Roman"/>
          <w:i/>
          <w:szCs w:val="28"/>
          <w:lang w:val="en-US"/>
        </w:rPr>
        <w:t xml:space="preserve"> </w:t>
      </w:r>
      <w:r w:rsidRPr="00FD1023">
        <w:rPr>
          <w:rFonts w:ascii="Times New Roman" w:hAnsi="Times New Roman"/>
          <w:szCs w:val="28"/>
          <w:lang w:val="en-US"/>
        </w:rPr>
        <w:t xml:space="preserve">bộ, ngành </w:t>
      </w:r>
      <w:r w:rsidR="00BE3293">
        <w:rPr>
          <w:rFonts w:ascii="Times New Roman" w:hAnsi="Times New Roman"/>
          <w:szCs w:val="28"/>
          <w:lang w:val="en-US"/>
        </w:rPr>
        <w:t xml:space="preserve">đạt </w:t>
      </w:r>
      <w:r w:rsidRPr="00FD1023">
        <w:rPr>
          <w:rFonts w:ascii="Times New Roman" w:hAnsi="Times New Roman"/>
          <w:b/>
          <w:szCs w:val="28"/>
          <w:lang w:val="en-US"/>
        </w:rPr>
        <w:t>45,</w:t>
      </w:r>
      <w:r w:rsidR="00E24EA4">
        <w:rPr>
          <w:rFonts w:ascii="Times New Roman" w:hAnsi="Times New Roman"/>
          <w:b/>
          <w:szCs w:val="28"/>
          <w:lang w:val="en-US"/>
        </w:rPr>
        <w:t>22</w:t>
      </w:r>
      <w:r w:rsidRPr="00FD1023">
        <w:rPr>
          <w:rFonts w:ascii="Times New Roman" w:hAnsi="Times New Roman"/>
          <w:szCs w:val="28"/>
          <w:lang w:val="en-US"/>
        </w:rPr>
        <w:t xml:space="preserve">% </w:t>
      </w:r>
      <w:r w:rsidR="00BE3293">
        <w:rPr>
          <w:rFonts w:ascii="Times New Roman" w:hAnsi="Times New Roman"/>
          <w:szCs w:val="28"/>
          <w:lang w:val="en-US"/>
        </w:rPr>
        <w:t>(1.785.238 giao dịch</w:t>
      </w:r>
      <w:r w:rsidR="00E24EA4">
        <w:rPr>
          <w:rFonts w:ascii="Times New Roman" w:hAnsi="Times New Roman"/>
          <w:szCs w:val="28"/>
          <w:lang w:val="en-US"/>
        </w:rPr>
        <w:t xml:space="preserve"> thanh toán</w:t>
      </w:r>
      <w:r w:rsidR="00BE3293">
        <w:rPr>
          <w:rFonts w:ascii="Times New Roman" w:hAnsi="Times New Roman"/>
          <w:szCs w:val="28"/>
          <w:lang w:val="en-US"/>
        </w:rPr>
        <w:t xml:space="preserve"> trên </w:t>
      </w:r>
      <w:r w:rsidR="00E24EA4">
        <w:rPr>
          <w:rFonts w:ascii="Times New Roman" w:hAnsi="Times New Roman"/>
          <w:szCs w:val="28"/>
          <w:lang w:val="en-US"/>
        </w:rPr>
        <w:t>C</w:t>
      </w:r>
      <w:r w:rsidR="00BE3293">
        <w:rPr>
          <w:rFonts w:ascii="Times New Roman" w:hAnsi="Times New Roman"/>
          <w:szCs w:val="28"/>
          <w:lang w:val="en-US"/>
        </w:rPr>
        <w:t xml:space="preserve">ổng /3.947.734 </w:t>
      </w:r>
      <w:r w:rsidR="00E24EA4">
        <w:rPr>
          <w:rFonts w:ascii="Times New Roman" w:hAnsi="Times New Roman"/>
          <w:szCs w:val="28"/>
          <w:lang w:val="en-US"/>
        </w:rPr>
        <w:t>giao dịch thanh toán</w:t>
      </w:r>
      <w:r w:rsidR="000554B5">
        <w:rPr>
          <w:rFonts w:ascii="Times New Roman" w:hAnsi="Times New Roman"/>
          <w:szCs w:val="28"/>
          <w:lang w:val="en-US"/>
        </w:rPr>
        <w:t xml:space="preserve"> dịch vụ công</w:t>
      </w:r>
      <w:r w:rsidR="00BE3293">
        <w:rPr>
          <w:rFonts w:ascii="Times New Roman" w:hAnsi="Times New Roman"/>
          <w:szCs w:val="28"/>
          <w:lang w:val="en-US"/>
        </w:rPr>
        <w:t xml:space="preserve">) </w:t>
      </w:r>
      <w:r w:rsidRPr="00FD1023">
        <w:rPr>
          <w:rFonts w:ascii="Times New Roman" w:hAnsi="Times New Roman"/>
          <w:szCs w:val="28"/>
          <w:lang w:val="en-US"/>
        </w:rPr>
        <w:t xml:space="preserve">và các địa phương </w:t>
      </w:r>
      <w:r w:rsidR="00E24EA4">
        <w:rPr>
          <w:rFonts w:ascii="Times New Roman" w:hAnsi="Times New Roman"/>
          <w:szCs w:val="28"/>
          <w:lang w:val="en-US"/>
        </w:rPr>
        <w:t>đạt</w:t>
      </w:r>
      <w:r w:rsidRPr="00FD1023">
        <w:rPr>
          <w:rFonts w:ascii="Times New Roman" w:hAnsi="Times New Roman"/>
          <w:szCs w:val="28"/>
          <w:lang w:val="en-US"/>
        </w:rPr>
        <w:t xml:space="preserve"> </w:t>
      </w:r>
      <w:r w:rsidR="00E24EA4" w:rsidRPr="00E24EA4">
        <w:rPr>
          <w:rFonts w:ascii="Times New Roman" w:hAnsi="Times New Roman"/>
          <w:b/>
          <w:szCs w:val="28"/>
          <w:lang w:val="en-US"/>
        </w:rPr>
        <w:t>26,86</w:t>
      </w:r>
      <w:r w:rsidRPr="00FD1023">
        <w:rPr>
          <w:rFonts w:ascii="Times New Roman" w:hAnsi="Times New Roman"/>
          <w:szCs w:val="28"/>
          <w:lang w:val="en-US"/>
        </w:rPr>
        <w:t>%</w:t>
      </w:r>
      <w:r w:rsidR="00E24EA4">
        <w:rPr>
          <w:rFonts w:ascii="Times New Roman" w:hAnsi="Times New Roman"/>
          <w:szCs w:val="28"/>
          <w:lang w:val="en-US"/>
        </w:rPr>
        <w:t xml:space="preserve"> (4.083.791 giao dịch thanh toán trên Cổng /15.230.500 giao dịch thanh toán</w:t>
      </w:r>
      <w:r w:rsidR="000554B5">
        <w:rPr>
          <w:rFonts w:ascii="Times New Roman" w:hAnsi="Times New Roman"/>
          <w:szCs w:val="28"/>
          <w:lang w:val="en-US"/>
        </w:rPr>
        <w:t xml:space="preserve"> dịch vụ công</w:t>
      </w:r>
      <w:r w:rsidR="00E24EA4">
        <w:rPr>
          <w:rFonts w:ascii="Times New Roman" w:hAnsi="Times New Roman"/>
          <w:szCs w:val="28"/>
          <w:lang w:val="en-US"/>
        </w:rPr>
        <w:t>)</w:t>
      </w:r>
      <w:r w:rsidR="00917D6E" w:rsidRPr="00FD1023">
        <w:rPr>
          <w:rFonts w:ascii="Times New Roman" w:hAnsi="Times New Roman"/>
          <w:szCs w:val="28"/>
          <w:lang w:val="en-US"/>
        </w:rPr>
        <w:t>.</w:t>
      </w:r>
      <w:r w:rsidRPr="00FD1023">
        <w:rPr>
          <w:rFonts w:ascii="Times New Roman" w:hAnsi="Times New Roman"/>
          <w:szCs w:val="28"/>
          <w:lang w:val="en-US"/>
        </w:rPr>
        <w:t xml:space="preserve"> </w:t>
      </w:r>
    </w:p>
    <w:p w14:paraId="62261803" w14:textId="518A2F31" w:rsidR="00CC118E" w:rsidRPr="00FD1023" w:rsidRDefault="00CC118E" w:rsidP="006460B3">
      <w:pPr>
        <w:tabs>
          <w:tab w:val="left" w:pos="993"/>
        </w:tabs>
        <w:spacing w:after="100"/>
        <w:ind w:firstLine="709"/>
        <w:jc w:val="both"/>
        <w:rPr>
          <w:b/>
          <w:i/>
          <w:spacing w:val="-6"/>
        </w:rPr>
      </w:pPr>
      <w:r w:rsidRPr="00FD1023">
        <w:rPr>
          <w:b/>
          <w:i/>
        </w:rPr>
        <w:t>d) Chỉ số đánh giá v</w:t>
      </w:r>
      <w:r w:rsidRPr="00FD1023">
        <w:rPr>
          <w:b/>
          <w:i/>
          <w:spacing w:val="-8"/>
        </w:rPr>
        <w:t xml:space="preserve">ề </w:t>
      </w:r>
      <w:r w:rsidRPr="00FD1023">
        <w:rPr>
          <w:b/>
          <w:i/>
          <w:spacing w:val="-6"/>
        </w:rPr>
        <w:t>số hóa hồ sơ, kết quả giải quyết TTHC</w:t>
      </w:r>
    </w:p>
    <w:p w14:paraId="5C610D3C" w14:textId="33FF864A" w:rsidR="00FF71A9" w:rsidRPr="00FD1023" w:rsidRDefault="00FF71A9" w:rsidP="006460B3">
      <w:pPr>
        <w:tabs>
          <w:tab w:val="left" w:pos="993"/>
        </w:tabs>
        <w:spacing w:after="100"/>
        <w:ind w:firstLine="709"/>
        <w:jc w:val="both"/>
        <w:rPr>
          <w:lang w:val="en-US"/>
        </w:rPr>
      </w:pPr>
      <w:r w:rsidRPr="00FD1023">
        <w:rPr>
          <w:spacing w:val="-6"/>
          <w:lang w:val="en-US"/>
        </w:rPr>
        <w:t>T</w:t>
      </w:r>
      <w:r w:rsidRPr="00FD1023">
        <w:rPr>
          <w:lang w:val="vi-VN"/>
        </w:rPr>
        <w:t xml:space="preserve">ỷ lệ số hóa hồ sơ, kết quả </w:t>
      </w:r>
      <w:r w:rsidRPr="00FD1023">
        <w:rPr>
          <w:lang w:val="de-DE"/>
        </w:rPr>
        <w:t>giải quyết TTHC</w:t>
      </w:r>
      <w:r w:rsidRPr="00FD1023">
        <w:rPr>
          <w:bCs/>
          <w:caps/>
          <w:shd w:val="clear" w:color="auto" w:fill="FFFFFF"/>
          <w:lang w:val="de-DE"/>
        </w:rPr>
        <w:t xml:space="preserve"> </w:t>
      </w:r>
      <w:r w:rsidRPr="00FD1023">
        <w:rPr>
          <w:lang w:val="vi-VN"/>
        </w:rPr>
        <w:t xml:space="preserve">tại các bộ, ngành đạt </w:t>
      </w:r>
      <w:r w:rsidRPr="00FD1023">
        <w:rPr>
          <w:b/>
          <w:lang w:val="en-US"/>
        </w:rPr>
        <w:t>28,59</w:t>
      </w:r>
      <w:r w:rsidRPr="00FD1023">
        <w:rPr>
          <w:lang w:val="vi-VN"/>
        </w:rPr>
        <w:t>%</w:t>
      </w:r>
      <w:r w:rsidRPr="00FD1023">
        <w:rPr>
          <w:lang w:val="en-US"/>
        </w:rPr>
        <w:t xml:space="preserve"> </w:t>
      </w:r>
      <w:r w:rsidR="000554B5">
        <w:rPr>
          <w:lang w:val="en-US"/>
        </w:rPr>
        <w:t>(</w:t>
      </w:r>
      <w:r w:rsidR="000554B5" w:rsidRPr="006700D5">
        <w:t>14.997.451</w:t>
      </w:r>
      <w:r w:rsidR="000554B5">
        <w:t xml:space="preserve"> hồ sơ được số hóa</w:t>
      </w:r>
      <w:r w:rsidR="000554B5" w:rsidRPr="006700D5">
        <w:t>/</w:t>
      </w:r>
      <w:r w:rsidR="000554B5">
        <w:t xml:space="preserve"> </w:t>
      </w:r>
      <w:r w:rsidR="000554B5" w:rsidRPr="006700D5">
        <w:t xml:space="preserve">52.461.202 </w:t>
      </w:r>
      <w:r w:rsidR="000554B5">
        <w:t xml:space="preserve">hồ sơ giải quyết) </w:t>
      </w:r>
      <w:r w:rsidRPr="00FD1023">
        <w:rPr>
          <w:lang w:val="en-US"/>
        </w:rPr>
        <w:t>và</w:t>
      </w:r>
      <w:r w:rsidRPr="00FD1023">
        <w:rPr>
          <w:lang w:val="vi-VN"/>
        </w:rPr>
        <w:t xml:space="preserve"> tại các địa phương đạt </w:t>
      </w:r>
      <w:r w:rsidRPr="00FD1023">
        <w:rPr>
          <w:b/>
          <w:lang w:val="en-US"/>
        </w:rPr>
        <w:t>39,48</w:t>
      </w:r>
      <w:r w:rsidRPr="00FD1023">
        <w:rPr>
          <w:lang w:val="vi-VN"/>
        </w:rPr>
        <w:t>%</w:t>
      </w:r>
      <w:r w:rsidR="000554B5">
        <w:rPr>
          <w:lang w:val="en-US"/>
        </w:rPr>
        <w:t xml:space="preserve"> (</w:t>
      </w:r>
      <w:r w:rsidR="000554B5" w:rsidRPr="006700D5">
        <w:t>11.911.383</w:t>
      </w:r>
      <w:r w:rsidR="000554B5">
        <w:t xml:space="preserve"> hồ sơ được số hóa </w:t>
      </w:r>
      <w:r w:rsidR="000554B5" w:rsidRPr="006700D5">
        <w:t>/30.170.678</w:t>
      </w:r>
      <w:r w:rsidR="000554B5">
        <w:t xml:space="preserve"> hồ sơ giải quyết).</w:t>
      </w:r>
      <w:r w:rsidRPr="00FD1023">
        <w:rPr>
          <w:lang w:val="vi-VN"/>
        </w:rPr>
        <w:t xml:space="preserve"> </w:t>
      </w:r>
      <w:r w:rsidR="000554B5">
        <w:rPr>
          <w:lang w:val="en-US"/>
        </w:rPr>
        <w:t>T</w:t>
      </w:r>
      <w:r w:rsidRPr="00FD1023">
        <w:rPr>
          <w:lang w:val="vi-VN"/>
        </w:rPr>
        <w:t xml:space="preserve">ỷ lệ hồ sơ cấp kết quả bản điện tử có giá trị pháp lý để tái sử dụng tại các bộ, ngành đạt </w:t>
      </w:r>
      <w:r w:rsidRPr="00FD1023">
        <w:rPr>
          <w:b/>
          <w:lang w:val="en-US"/>
        </w:rPr>
        <w:t>28,60</w:t>
      </w:r>
      <w:r w:rsidRPr="00FD1023">
        <w:rPr>
          <w:lang w:val="vi-VN"/>
        </w:rPr>
        <w:t>%</w:t>
      </w:r>
      <w:r w:rsidR="000554B5">
        <w:rPr>
          <w:lang w:val="en-US"/>
        </w:rPr>
        <w:t xml:space="preserve"> (</w:t>
      </w:r>
      <w:r w:rsidR="000554B5" w:rsidRPr="006700D5">
        <w:t>15.003.261</w:t>
      </w:r>
      <w:r w:rsidR="000554B5">
        <w:t xml:space="preserve"> kết quả điện tử </w:t>
      </w:r>
      <w:r w:rsidR="000554B5" w:rsidRPr="006700D5">
        <w:t>/52.461.202</w:t>
      </w:r>
      <w:r w:rsidR="000554B5">
        <w:t xml:space="preserve"> kết quả giải quyết)</w:t>
      </w:r>
      <w:r w:rsidR="000554B5" w:rsidRPr="006700D5">
        <w:t xml:space="preserve"> </w:t>
      </w:r>
      <w:r w:rsidRPr="00FD1023">
        <w:rPr>
          <w:lang w:val="en-US"/>
        </w:rPr>
        <w:t xml:space="preserve"> và </w:t>
      </w:r>
      <w:r w:rsidRPr="00FD1023">
        <w:rPr>
          <w:lang w:val="vi-VN"/>
        </w:rPr>
        <w:t xml:space="preserve">tại các địa phương đạt </w:t>
      </w:r>
      <w:r w:rsidRPr="00FD1023">
        <w:rPr>
          <w:b/>
          <w:lang w:val="en-US"/>
        </w:rPr>
        <w:t>45,30</w:t>
      </w:r>
      <w:r w:rsidRPr="00FD1023">
        <w:rPr>
          <w:lang w:val="vi-VN"/>
        </w:rPr>
        <w:t>%</w:t>
      </w:r>
      <w:r w:rsidR="000554B5">
        <w:rPr>
          <w:lang w:val="en-US"/>
        </w:rPr>
        <w:t xml:space="preserve"> (</w:t>
      </w:r>
      <w:r w:rsidR="000554B5" w:rsidRPr="006700D5">
        <w:t>13.667.317</w:t>
      </w:r>
      <w:r w:rsidR="000554B5">
        <w:t xml:space="preserve"> kết quả điện tử </w:t>
      </w:r>
      <w:r w:rsidR="000554B5" w:rsidRPr="006700D5">
        <w:t>/30.170.678</w:t>
      </w:r>
      <w:r w:rsidR="000554B5">
        <w:t xml:space="preserve"> kết quả giải quyết)</w:t>
      </w:r>
      <w:r w:rsidR="004F20D6">
        <w:t>;</w:t>
      </w:r>
      <w:r w:rsidRPr="00FD1023">
        <w:rPr>
          <w:lang w:val="vi-VN"/>
        </w:rPr>
        <w:t xml:space="preserve"> </w:t>
      </w:r>
      <w:r w:rsidR="004F20D6">
        <w:rPr>
          <w:lang w:val="en-US"/>
        </w:rPr>
        <w:t>tuy nhiên, t</w:t>
      </w:r>
      <w:r w:rsidRPr="00FD1023">
        <w:rPr>
          <w:lang w:val="vi-VN"/>
        </w:rPr>
        <w:t>ỷ lệ khai thác, sử dụng lại thông tin</w:t>
      </w:r>
      <w:r w:rsidR="000554B5">
        <w:rPr>
          <w:lang w:val="en-US"/>
        </w:rPr>
        <w:t>,</w:t>
      </w:r>
      <w:r w:rsidRPr="00FD1023">
        <w:rPr>
          <w:lang w:val="vi-VN"/>
        </w:rPr>
        <w:t xml:space="preserve"> dữ liệu số hóa tại các bộ, ngành </w:t>
      </w:r>
      <w:r w:rsidRPr="00FD1023">
        <w:rPr>
          <w:lang w:val="en-US"/>
        </w:rPr>
        <w:t xml:space="preserve">chỉ </w:t>
      </w:r>
      <w:r w:rsidRPr="00FD1023">
        <w:rPr>
          <w:lang w:val="vi-VN"/>
        </w:rPr>
        <w:t xml:space="preserve">đạt </w:t>
      </w:r>
      <w:r w:rsidRPr="00FD1023">
        <w:rPr>
          <w:b/>
          <w:lang w:val="vi-VN"/>
        </w:rPr>
        <w:t>0</w:t>
      </w:r>
      <w:r w:rsidRPr="00FD1023">
        <w:rPr>
          <w:b/>
          <w:lang w:val="en-US"/>
        </w:rPr>
        <w:t>,19</w:t>
      </w:r>
      <w:r w:rsidRPr="00FD1023">
        <w:rPr>
          <w:lang w:val="vi-VN"/>
        </w:rPr>
        <w:t>%</w:t>
      </w:r>
      <w:r w:rsidR="000554B5">
        <w:rPr>
          <w:lang w:val="en-US"/>
        </w:rPr>
        <w:t xml:space="preserve"> (</w:t>
      </w:r>
      <w:r w:rsidR="000554B5" w:rsidRPr="006700D5">
        <w:t>114.440</w:t>
      </w:r>
      <w:r w:rsidR="000554B5">
        <w:t xml:space="preserve"> </w:t>
      </w:r>
      <w:r w:rsidR="004F20D6">
        <w:t xml:space="preserve">kết quả điện tử được tái sử dụng </w:t>
      </w:r>
      <w:r w:rsidR="000554B5" w:rsidRPr="006700D5">
        <w:t>/52.461.202</w:t>
      </w:r>
      <w:r w:rsidR="004F20D6">
        <w:t xml:space="preserve"> kết quả giải quyết</w:t>
      </w:r>
      <w:r w:rsidR="000554B5">
        <w:t>)</w:t>
      </w:r>
      <w:r w:rsidRPr="00FD1023">
        <w:rPr>
          <w:lang w:val="vi-VN"/>
        </w:rPr>
        <w:t xml:space="preserve">, tại các địa phương đạt </w:t>
      </w:r>
      <w:r w:rsidRPr="00FD1023">
        <w:rPr>
          <w:b/>
          <w:lang w:val="en-US"/>
        </w:rPr>
        <w:t>9,52</w:t>
      </w:r>
      <w:r w:rsidR="004F20D6" w:rsidRPr="004F20D6">
        <w:rPr>
          <w:lang w:val="en-US"/>
        </w:rPr>
        <w:t>%</w:t>
      </w:r>
      <w:r w:rsidR="004F20D6">
        <w:rPr>
          <w:b/>
          <w:lang w:val="en-US"/>
        </w:rPr>
        <w:t xml:space="preserve"> </w:t>
      </w:r>
      <w:r w:rsidR="004F20D6">
        <w:rPr>
          <w:lang w:val="en-US"/>
        </w:rPr>
        <w:t>(</w:t>
      </w:r>
      <w:r w:rsidR="004F20D6" w:rsidRPr="006700D5">
        <w:t>2.970.015</w:t>
      </w:r>
      <w:r w:rsidR="004F20D6">
        <w:t xml:space="preserve"> kết quả điện tử được tái sử dụng </w:t>
      </w:r>
      <w:r w:rsidR="004F20D6" w:rsidRPr="006700D5">
        <w:t xml:space="preserve">/30.170.678 </w:t>
      </w:r>
      <w:r w:rsidR="004F20D6">
        <w:t>kết quả giải quyết)</w:t>
      </w:r>
      <w:r w:rsidRPr="00FD1023">
        <w:rPr>
          <w:lang w:val="en-US"/>
        </w:rPr>
        <w:t>.</w:t>
      </w:r>
    </w:p>
    <w:p w14:paraId="7E9747DB" w14:textId="28687216" w:rsidR="0051356B" w:rsidRPr="00FD1023" w:rsidRDefault="00FF71A9" w:rsidP="006460B3">
      <w:pPr>
        <w:tabs>
          <w:tab w:val="left" w:pos="993"/>
        </w:tabs>
        <w:spacing w:after="100"/>
        <w:ind w:firstLine="709"/>
        <w:jc w:val="both"/>
        <w:rPr>
          <w:i/>
          <w:shd w:val="clear" w:color="auto" w:fill="FFFFFF"/>
        </w:rPr>
      </w:pPr>
      <w:r w:rsidRPr="00FD1023">
        <w:rPr>
          <w:spacing w:val="-2"/>
          <w:lang w:val="en-US"/>
        </w:rPr>
        <w:t xml:space="preserve">Tổng hợp kết quả, đánh giá theo Bộ chỉ số phục vụ người dân và doanh nghiệp trong thực hiện </w:t>
      </w:r>
      <w:r w:rsidRPr="00FD1023">
        <w:rPr>
          <w:spacing w:val="-2"/>
        </w:rPr>
        <w:t>TTHC</w:t>
      </w:r>
      <w:r w:rsidRPr="00FD1023">
        <w:rPr>
          <w:spacing w:val="-2"/>
          <w:lang w:val="en-US"/>
        </w:rPr>
        <w:t xml:space="preserve">, cung cấp dịch vụ công trên Cổng DVCQG, năm 2023, </w:t>
      </w:r>
      <w:r w:rsidR="007E05E8" w:rsidRPr="00FD1023">
        <w:rPr>
          <w:spacing w:val="-2"/>
          <w:lang w:val="en-US"/>
        </w:rPr>
        <w:t xml:space="preserve">có </w:t>
      </w:r>
      <w:r w:rsidRPr="00FD1023">
        <w:rPr>
          <w:spacing w:val="-2"/>
          <w:lang w:val="en-US"/>
        </w:rPr>
        <w:t xml:space="preserve">01 </w:t>
      </w:r>
      <w:r w:rsidR="004F6DAA">
        <w:rPr>
          <w:spacing w:val="-2"/>
          <w:lang w:val="en-US"/>
        </w:rPr>
        <w:t>b</w:t>
      </w:r>
      <w:r w:rsidRPr="00FD1023">
        <w:rPr>
          <w:spacing w:val="-2"/>
          <w:lang w:val="en-US"/>
        </w:rPr>
        <w:t xml:space="preserve">ộ </w:t>
      </w:r>
      <w:r w:rsidR="007E05E8" w:rsidRPr="00FD1023">
        <w:rPr>
          <w:spacing w:val="-2"/>
          <w:lang w:val="en-US"/>
        </w:rPr>
        <w:t>đạt</w:t>
      </w:r>
      <w:r w:rsidRPr="00FD1023">
        <w:rPr>
          <w:spacing w:val="-2"/>
          <w:lang w:val="en-US"/>
        </w:rPr>
        <w:t xml:space="preserve"> điểm đánh giá khá (</w:t>
      </w:r>
      <w:r w:rsidRPr="00FD1023">
        <w:rPr>
          <w:i/>
          <w:spacing w:val="-2"/>
          <w:lang w:val="en-US"/>
        </w:rPr>
        <w:t>Bộ Công Thương</w:t>
      </w:r>
      <w:r w:rsidRPr="00FD1023">
        <w:rPr>
          <w:spacing w:val="-2"/>
          <w:lang w:val="en-US"/>
        </w:rPr>
        <w:t xml:space="preserve">), 12 bộ </w:t>
      </w:r>
      <w:r w:rsidR="007E05E8" w:rsidRPr="00FD1023">
        <w:rPr>
          <w:spacing w:val="-2"/>
          <w:lang w:val="en-US"/>
        </w:rPr>
        <w:t>đạt</w:t>
      </w:r>
      <w:r w:rsidRPr="00FD1023">
        <w:rPr>
          <w:spacing w:val="-2"/>
          <w:lang w:val="en-US"/>
        </w:rPr>
        <w:t xml:space="preserve"> điểm đánh giá trung bình, 08 bộ có điểm đánh giá dưới trung bình </w:t>
      </w:r>
      <w:r w:rsidRPr="00FD1023">
        <w:rPr>
          <w:i/>
          <w:spacing w:val="-2"/>
          <w:lang w:val="en-US"/>
        </w:rPr>
        <w:t>(thấp nhất là Bộ Giáo dục và Đào tạo)</w:t>
      </w:r>
      <w:r w:rsidRPr="00FD1023">
        <w:rPr>
          <w:spacing w:val="-2"/>
          <w:lang w:val="en-US"/>
        </w:rPr>
        <w:t xml:space="preserve">; 08 địa phương </w:t>
      </w:r>
      <w:r w:rsidR="007E05E8" w:rsidRPr="00FD1023">
        <w:rPr>
          <w:spacing w:val="-2"/>
          <w:lang w:val="en-US"/>
        </w:rPr>
        <w:t>đạt</w:t>
      </w:r>
      <w:r w:rsidRPr="00FD1023">
        <w:rPr>
          <w:spacing w:val="-2"/>
          <w:lang w:val="en-US"/>
        </w:rPr>
        <w:t xml:space="preserve"> điểm đánh giá tốt</w:t>
      </w:r>
      <w:r w:rsidR="00E816E1">
        <w:rPr>
          <w:spacing w:val="-2"/>
          <w:lang w:val="en-US"/>
        </w:rPr>
        <w:t xml:space="preserve"> </w:t>
      </w:r>
      <w:r w:rsidR="00E816E1" w:rsidRPr="00E816E1">
        <w:rPr>
          <w:i/>
          <w:spacing w:val="-2"/>
          <w:lang w:val="en-US"/>
        </w:rPr>
        <w:t>(Bình Định, Cà Mau, Bắc Giang, Lâm Đồng, Thái Nguyên, Hà Nam, Hải Dương, Nam Định)</w:t>
      </w:r>
      <w:r w:rsidRPr="00FD1023">
        <w:rPr>
          <w:spacing w:val="-2"/>
          <w:lang w:val="en-US"/>
        </w:rPr>
        <w:t>, 23</w:t>
      </w:r>
      <w:r w:rsidRPr="00FD1023">
        <w:rPr>
          <w:spacing w:val="-8"/>
          <w:lang w:val="en-US"/>
        </w:rPr>
        <w:t xml:space="preserve"> địa phương </w:t>
      </w:r>
      <w:r w:rsidR="007E05E8" w:rsidRPr="00FD1023">
        <w:rPr>
          <w:spacing w:val="-8"/>
          <w:lang w:val="en-US"/>
        </w:rPr>
        <w:t>đạt</w:t>
      </w:r>
      <w:r w:rsidRPr="00FD1023">
        <w:rPr>
          <w:spacing w:val="-8"/>
          <w:lang w:val="en-US"/>
        </w:rPr>
        <w:t xml:space="preserve"> điểm đánh giá khá, 31 địa phương </w:t>
      </w:r>
      <w:r w:rsidR="007E05E8" w:rsidRPr="00FD1023">
        <w:rPr>
          <w:spacing w:val="-8"/>
          <w:lang w:val="en-US"/>
        </w:rPr>
        <w:t>đạt</w:t>
      </w:r>
      <w:r w:rsidRPr="00FD1023">
        <w:rPr>
          <w:spacing w:val="-8"/>
          <w:lang w:val="en-US"/>
        </w:rPr>
        <w:t xml:space="preserve"> điểm trung bình và 01 địa phương</w:t>
      </w:r>
      <w:r w:rsidRPr="00FD1023">
        <w:rPr>
          <w:spacing w:val="-2"/>
          <w:lang w:val="en-US"/>
        </w:rPr>
        <w:t xml:space="preserve"> có điểm dưới trung bình </w:t>
      </w:r>
      <w:r w:rsidRPr="00FD1023">
        <w:rPr>
          <w:i/>
          <w:spacing w:val="-2"/>
          <w:lang w:val="en-US"/>
        </w:rPr>
        <w:t>(Bạc Liêu)</w:t>
      </w:r>
      <w:r w:rsidR="00562A39" w:rsidRPr="00FD1023">
        <w:rPr>
          <w:spacing w:val="-2"/>
          <w:lang w:val="en-US"/>
        </w:rPr>
        <w:t xml:space="preserve"> </w:t>
      </w:r>
      <w:r w:rsidR="0051356B" w:rsidRPr="00FD1023">
        <w:rPr>
          <w:i/>
          <w:shd w:val="clear" w:color="auto" w:fill="FFFFFF"/>
        </w:rPr>
        <w:t>(Chi tiết tại Phụ lục V</w:t>
      </w:r>
      <w:r w:rsidR="007E05E8" w:rsidRPr="00FD1023">
        <w:rPr>
          <w:i/>
          <w:shd w:val="clear" w:color="auto" w:fill="FFFFFF"/>
        </w:rPr>
        <w:t>I</w:t>
      </w:r>
      <w:r w:rsidR="0051356B" w:rsidRPr="00FD1023">
        <w:rPr>
          <w:i/>
          <w:shd w:val="clear" w:color="auto" w:fill="FFFFFF"/>
        </w:rPr>
        <w:t>)</w:t>
      </w:r>
      <w:r w:rsidR="007E05E8" w:rsidRPr="00FD1023">
        <w:rPr>
          <w:i/>
          <w:shd w:val="clear" w:color="auto" w:fill="FFFFFF"/>
        </w:rPr>
        <w:t>.</w:t>
      </w:r>
    </w:p>
    <w:p w14:paraId="213F2918" w14:textId="7074C400" w:rsidR="00562A39" w:rsidRPr="00FD1023" w:rsidRDefault="00562A39" w:rsidP="006460B3">
      <w:pPr>
        <w:tabs>
          <w:tab w:val="left" w:pos="993"/>
        </w:tabs>
        <w:spacing w:after="100"/>
        <w:ind w:firstLine="709"/>
        <w:jc w:val="both"/>
        <w:rPr>
          <w:b/>
          <w:shd w:val="clear" w:color="auto" w:fill="FFFFFF"/>
        </w:rPr>
      </w:pPr>
      <w:r w:rsidRPr="00FD1023">
        <w:rPr>
          <w:b/>
          <w:shd w:val="clear" w:color="auto" w:fill="FFFFFF"/>
        </w:rPr>
        <w:t>4. Kết quả triển khai cơ chế một cửa, một cửa liên thông (MC, MCLT) trong giải quyết TTHC</w:t>
      </w:r>
    </w:p>
    <w:p w14:paraId="0F1854A4" w14:textId="7EBEDC49" w:rsidR="00562A39" w:rsidRPr="00FD1023" w:rsidRDefault="00562A39" w:rsidP="006460B3">
      <w:pPr>
        <w:tabs>
          <w:tab w:val="left" w:pos="993"/>
        </w:tabs>
        <w:spacing w:after="100"/>
        <w:ind w:firstLine="709"/>
        <w:jc w:val="both"/>
        <w:rPr>
          <w:color w:val="000000" w:themeColor="text1"/>
          <w:spacing w:val="-2"/>
        </w:rPr>
      </w:pPr>
      <w:r w:rsidRPr="00FD1023">
        <w:rPr>
          <w:color w:val="000000" w:themeColor="text1"/>
          <w:spacing w:val="-2"/>
        </w:rPr>
        <w:t xml:space="preserve">Trong </w:t>
      </w:r>
      <w:r w:rsidRPr="00FD1023">
        <w:rPr>
          <w:color w:val="000000" w:themeColor="text1"/>
          <w:spacing w:val="-2"/>
          <w:lang w:val="en-US"/>
        </w:rPr>
        <w:t>năm</w:t>
      </w:r>
      <w:r w:rsidRPr="00FD1023">
        <w:rPr>
          <w:color w:val="000000" w:themeColor="text1"/>
          <w:spacing w:val="-2"/>
        </w:rPr>
        <w:t xml:space="preserve">, các bộ, ngành, địa phương tiếp tục </w:t>
      </w:r>
      <w:r w:rsidRPr="00FD1023">
        <w:rPr>
          <w:color w:val="000000" w:themeColor="text1"/>
          <w:spacing w:val="-2"/>
          <w:lang w:val="en-US"/>
        </w:rPr>
        <w:t xml:space="preserve">thực hiện đổi mới cơ chế MC, MCLT trong giải quyết TTHC để nâng cao chất lượng phục vụ người dân, doanh nghiệp. </w:t>
      </w:r>
      <w:r w:rsidRPr="00FD1023">
        <w:rPr>
          <w:color w:val="000000" w:themeColor="text1"/>
          <w:spacing w:val="-2"/>
        </w:rPr>
        <w:t>Đến</w:t>
      </w:r>
      <w:r w:rsidRPr="00FD1023">
        <w:rPr>
          <w:color w:val="000000" w:themeColor="text1"/>
          <w:spacing w:val="-2"/>
          <w:lang w:val="en-US"/>
        </w:rPr>
        <w:t xml:space="preserve"> nay</w:t>
      </w:r>
      <w:r w:rsidRPr="00FD1023">
        <w:rPr>
          <w:color w:val="000000" w:themeColor="text1"/>
          <w:spacing w:val="-2"/>
        </w:rPr>
        <w:t xml:space="preserve">, </w:t>
      </w:r>
      <w:r w:rsidRPr="00FD1023">
        <w:rPr>
          <w:color w:val="000000" w:themeColor="text1"/>
          <w:spacing w:val="-2"/>
          <w:lang w:val="en-US"/>
        </w:rPr>
        <w:t>trên</w:t>
      </w:r>
      <w:r w:rsidRPr="00FD1023">
        <w:rPr>
          <w:color w:val="000000" w:themeColor="text1"/>
          <w:spacing w:val="-2"/>
        </w:rPr>
        <w:t xml:space="preserve"> cả nước đã thành lập </w:t>
      </w:r>
      <w:r w:rsidRPr="00FD1023">
        <w:rPr>
          <w:b/>
          <w:color w:val="000000" w:themeColor="text1"/>
          <w:spacing w:val="-2"/>
        </w:rPr>
        <w:t>11.956</w:t>
      </w:r>
      <w:r w:rsidRPr="00FD1023">
        <w:rPr>
          <w:color w:val="000000" w:themeColor="text1"/>
          <w:spacing w:val="-2"/>
        </w:rPr>
        <w:t xml:space="preserve"> </w:t>
      </w:r>
      <w:r w:rsidRPr="00FD1023">
        <w:rPr>
          <w:color w:val="000000" w:themeColor="text1"/>
          <w:spacing w:val="-2"/>
          <w:lang w:val="en-US"/>
        </w:rPr>
        <w:t>Bộ phận Một cửa (BPMC)</w:t>
      </w:r>
      <w:r w:rsidRPr="00FD1023">
        <w:rPr>
          <w:color w:val="000000" w:themeColor="text1"/>
          <w:spacing w:val="-2"/>
        </w:rPr>
        <w:t xml:space="preserve"> các cấp</w:t>
      </w:r>
      <w:r w:rsidRPr="00FD1023">
        <w:rPr>
          <w:color w:val="000000" w:themeColor="text1"/>
          <w:spacing w:val="-2"/>
          <w:lang w:val="en-US"/>
        </w:rPr>
        <w:t xml:space="preserve"> </w:t>
      </w:r>
      <w:r w:rsidRPr="00FD1023">
        <w:rPr>
          <w:color w:val="000000" w:themeColor="text1"/>
          <w:spacing w:val="-2"/>
        </w:rPr>
        <w:t xml:space="preserve">để tiếp nhận, giải quyết </w:t>
      </w:r>
      <w:r w:rsidRPr="00FD1023">
        <w:rPr>
          <w:color w:val="000000" w:themeColor="text1"/>
          <w:spacing w:val="-2"/>
          <w:lang w:val="en-US"/>
        </w:rPr>
        <w:t>TTHC (</w:t>
      </w:r>
      <w:r w:rsidRPr="00FD1023">
        <w:rPr>
          <w:i/>
          <w:color w:val="000000" w:themeColor="text1"/>
          <w:spacing w:val="-2"/>
          <w:lang w:val="en-US"/>
        </w:rPr>
        <w:t>t</w:t>
      </w:r>
      <w:r w:rsidRPr="00FD1023">
        <w:rPr>
          <w:i/>
          <w:color w:val="000000" w:themeColor="text1"/>
          <w:spacing w:val="-2"/>
        </w:rPr>
        <w:t>ại bộ, cơ quan ngang bộ: 867 BPMC; địa phương: 1</w:t>
      </w:r>
      <w:r w:rsidRPr="00FD1023">
        <w:rPr>
          <w:i/>
          <w:color w:val="000000" w:themeColor="text1"/>
          <w:spacing w:val="-2"/>
          <w:lang w:val="en-US"/>
        </w:rPr>
        <w:t>1</w:t>
      </w:r>
      <w:r w:rsidRPr="00FD1023">
        <w:rPr>
          <w:i/>
          <w:color w:val="000000" w:themeColor="text1"/>
          <w:spacing w:val="-2"/>
        </w:rPr>
        <w:t>.</w:t>
      </w:r>
      <w:r w:rsidRPr="00FD1023">
        <w:rPr>
          <w:i/>
          <w:color w:val="000000" w:themeColor="text1"/>
          <w:spacing w:val="-2"/>
          <w:lang w:val="en-US"/>
        </w:rPr>
        <w:t>089</w:t>
      </w:r>
      <w:r w:rsidRPr="00FD1023">
        <w:rPr>
          <w:i/>
          <w:color w:val="000000" w:themeColor="text1"/>
          <w:spacing w:val="-2"/>
        </w:rPr>
        <w:t xml:space="preserve"> BPMC</w:t>
      </w:r>
      <w:r w:rsidRPr="00FD1023">
        <w:rPr>
          <w:color w:val="000000" w:themeColor="text1"/>
          <w:spacing w:val="-2"/>
          <w:lang w:val="en-US"/>
        </w:rPr>
        <w:t xml:space="preserve">); </w:t>
      </w:r>
      <w:r w:rsidRPr="00FD1023">
        <w:rPr>
          <w:color w:val="000000" w:themeColor="text1"/>
          <w:spacing w:val="-2"/>
        </w:rPr>
        <w:t>100% cơ quan, đơn vị quan tâm nâng cấp, hoàn thiện Hệ thống thông tin giải quyết TTHC; 42/7</w:t>
      </w:r>
      <w:r w:rsidRPr="00FD1023">
        <w:rPr>
          <w:color w:val="000000" w:themeColor="text1"/>
          <w:spacing w:val="-2"/>
          <w:lang w:val="en-US"/>
        </w:rPr>
        <w:t>6</w:t>
      </w:r>
      <w:r w:rsidRPr="00FD1023">
        <w:rPr>
          <w:color w:val="000000" w:themeColor="text1"/>
          <w:spacing w:val="-2"/>
        </w:rPr>
        <w:t xml:space="preserve"> bộ, cơ quan, địa phương đã xây dựng Kho quản lý dữ liệu điện tử trên HTTT giải quyết TTHC; việc số hóa hồ sơ, kết quả giải quyết TTHC đã được triển khai ở </w:t>
      </w:r>
      <w:r w:rsidRPr="00FD1023">
        <w:rPr>
          <w:b/>
          <w:color w:val="000000" w:themeColor="text1"/>
          <w:spacing w:val="-2"/>
        </w:rPr>
        <w:t>9.200/11.956</w:t>
      </w:r>
      <w:r w:rsidRPr="00FD1023">
        <w:rPr>
          <w:color w:val="000000" w:themeColor="text1"/>
          <w:spacing w:val="-2"/>
        </w:rPr>
        <w:t xml:space="preserve"> BPMC</w:t>
      </w:r>
      <w:r w:rsidRPr="00FD1023">
        <w:rPr>
          <w:color w:val="000000" w:themeColor="text1"/>
          <w:spacing w:val="-2"/>
          <w:lang w:val="en-US"/>
        </w:rPr>
        <w:t>; 15 bộ, ngành và 63/63 địa phương đã hoàn thành kết nối, chia sẻ dữ liệu giữa Cơ sở dữ liệu quốc gia về dân cư với Hệ thống thông tin giải quyết TTHC phục vụ giải quyết TTHC, cung cấp dịch vụ công; các dịch vụ công liên thông điện tử được đẩy mạnh dựa trên kết nối, chia sẻ, liên thông dữ liệu giữa các cơ quan nhà nước;…</w:t>
      </w:r>
      <w:r w:rsidRPr="00FD1023">
        <w:rPr>
          <w:color w:val="000000" w:themeColor="text1"/>
          <w:spacing w:val="-2"/>
        </w:rPr>
        <w:t xml:space="preserve"> Một số địa phương đã </w:t>
      </w:r>
      <w:r w:rsidRPr="00FD1023">
        <w:rPr>
          <w:color w:val="000000" w:themeColor="text1"/>
          <w:spacing w:val="-2"/>
        </w:rPr>
        <w:lastRenderedPageBreak/>
        <w:t>nghiên cứu, triển khai các mô hình mới trong tiếp nhận và trả kết quả giúp nâng cao chất lượng, hiệu quả của BPMC</w:t>
      </w:r>
      <w:r w:rsidRPr="00DC15D4">
        <w:rPr>
          <w:rStyle w:val="FootnoteReference"/>
          <w:b/>
          <w:color w:val="000000" w:themeColor="text1"/>
          <w:spacing w:val="-2"/>
        </w:rPr>
        <w:footnoteReference w:id="28"/>
      </w:r>
      <w:r w:rsidRPr="00FD1023">
        <w:rPr>
          <w:color w:val="000000" w:themeColor="text1"/>
          <w:spacing w:val="-2"/>
        </w:rPr>
        <w:t>.</w:t>
      </w:r>
    </w:p>
    <w:p w14:paraId="0CAC8EFA" w14:textId="12D53EF5" w:rsidR="000C1F78" w:rsidRPr="00FD1023" w:rsidRDefault="00562A39" w:rsidP="006460B3">
      <w:pPr>
        <w:pStyle w:val="BodyTextIndent"/>
        <w:tabs>
          <w:tab w:val="left" w:pos="840"/>
        </w:tabs>
        <w:spacing w:after="100"/>
        <w:ind w:right="0" w:firstLine="709"/>
        <w:rPr>
          <w:rFonts w:ascii="Times New Roman" w:hAnsi="Times New Roman"/>
          <w:b/>
          <w:szCs w:val="28"/>
        </w:rPr>
      </w:pPr>
      <w:r w:rsidRPr="00FD1023">
        <w:rPr>
          <w:rFonts w:ascii="Times New Roman" w:hAnsi="Times New Roman"/>
          <w:b/>
          <w:szCs w:val="28"/>
        </w:rPr>
        <w:t>5</w:t>
      </w:r>
      <w:r w:rsidR="000C1F78" w:rsidRPr="00FD1023">
        <w:rPr>
          <w:rFonts w:ascii="Times New Roman" w:hAnsi="Times New Roman"/>
          <w:b/>
          <w:szCs w:val="28"/>
        </w:rPr>
        <w:t xml:space="preserve">. Kết quả tiếp nhận và xử lý phản ánh, kiến nghị </w:t>
      </w:r>
    </w:p>
    <w:p w14:paraId="39787E50" w14:textId="61146155" w:rsidR="007E05E8" w:rsidRPr="00FD1023" w:rsidRDefault="007E05E8" w:rsidP="006460B3">
      <w:pPr>
        <w:pStyle w:val="BodyTextIndent"/>
        <w:tabs>
          <w:tab w:val="left" w:pos="840"/>
        </w:tabs>
        <w:spacing w:after="100"/>
        <w:ind w:right="0" w:firstLine="709"/>
        <w:rPr>
          <w:rFonts w:ascii="Times New Roman" w:hAnsi="Times New Roman"/>
          <w:bCs/>
          <w:iCs/>
          <w:spacing w:val="-2"/>
          <w:szCs w:val="28"/>
          <w:lang w:val="en-US"/>
        </w:rPr>
      </w:pPr>
      <w:r w:rsidRPr="00FD1023">
        <w:rPr>
          <w:rFonts w:ascii="Times New Roman" w:hAnsi="Times New Roman"/>
          <w:b/>
          <w:bCs/>
          <w:i/>
          <w:iCs/>
          <w:spacing w:val="-2"/>
          <w:szCs w:val="28"/>
          <w:lang w:val="en-US"/>
        </w:rPr>
        <w:t>a)</w:t>
      </w:r>
      <w:r w:rsidR="00FF71A9" w:rsidRPr="00FD1023">
        <w:rPr>
          <w:rFonts w:ascii="Times New Roman" w:hAnsi="Times New Roman"/>
          <w:b/>
          <w:bCs/>
          <w:iCs/>
          <w:spacing w:val="-2"/>
          <w:szCs w:val="28"/>
          <w:lang w:val="en-US"/>
        </w:rPr>
        <w:t xml:space="preserve"> </w:t>
      </w:r>
      <w:r w:rsidR="00FF71A9" w:rsidRPr="00FD1023">
        <w:rPr>
          <w:rFonts w:ascii="Times New Roman" w:hAnsi="Times New Roman"/>
          <w:b/>
          <w:bCs/>
          <w:i/>
          <w:iCs/>
          <w:spacing w:val="-2"/>
          <w:szCs w:val="28"/>
          <w:lang w:val="en-US"/>
        </w:rPr>
        <w:t xml:space="preserve">Về </w:t>
      </w:r>
      <w:r w:rsidR="00FF71A9" w:rsidRPr="00FD1023">
        <w:rPr>
          <w:rFonts w:ascii="Times New Roman" w:hAnsi="Times New Roman"/>
          <w:b/>
          <w:i/>
          <w:szCs w:val="28"/>
        </w:rPr>
        <w:t>tiếp nhận và xử lý phản ánh, kiến nghị (PAKN) của cá nhân, tổ chức về quy định hành chính</w:t>
      </w:r>
    </w:p>
    <w:p w14:paraId="0366DDC0" w14:textId="3544214C" w:rsidR="00FF71A9" w:rsidRPr="00FD1023" w:rsidRDefault="00FF71A9" w:rsidP="006460B3">
      <w:pPr>
        <w:pStyle w:val="BodyTextIndent"/>
        <w:tabs>
          <w:tab w:val="left" w:pos="840"/>
        </w:tabs>
        <w:spacing w:after="100"/>
        <w:ind w:right="0" w:firstLine="709"/>
        <w:rPr>
          <w:rFonts w:ascii="Times New Roman" w:hAnsi="Times New Roman"/>
          <w:bCs/>
          <w:iCs/>
          <w:spacing w:val="-2"/>
          <w:szCs w:val="28"/>
          <w:lang w:val="en-US"/>
        </w:rPr>
      </w:pPr>
      <w:r w:rsidRPr="00FD1023">
        <w:rPr>
          <w:rFonts w:ascii="Times New Roman" w:hAnsi="Times New Roman"/>
          <w:bCs/>
          <w:iCs/>
          <w:spacing w:val="-2"/>
          <w:szCs w:val="28"/>
          <w:lang w:val="en-US"/>
        </w:rPr>
        <w:t xml:space="preserve">Trong năm, qua Hệ thống thông tin tiếp nhận và xử lý PAKN trên Cổng DVCQG, các bộ, ngành, địa phương đã tiếp nhận </w:t>
      </w:r>
      <w:r w:rsidRPr="00FD1023">
        <w:rPr>
          <w:rFonts w:ascii="Times New Roman" w:hAnsi="Times New Roman"/>
          <w:bCs/>
          <w:iCs/>
          <w:spacing w:val="-2"/>
          <w:szCs w:val="28"/>
        </w:rPr>
        <w:t xml:space="preserve">tổng số </w:t>
      </w:r>
      <w:r w:rsidRPr="00FD1023">
        <w:rPr>
          <w:rFonts w:ascii="Times New Roman" w:hAnsi="Times New Roman"/>
          <w:b/>
          <w:bCs/>
          <w:iCs/>
          <w:spacing w:val="-2"/>
          <w:szCs w:val="28"/>
        </w:rPr>
        <w:t>66.009</w:t>
      </w:r>
      <w:r w:rsidRPr="00FD1023">
        <w:rPr>
          <w:rFonts w:ascii="Times New Roman" w:hAnsi="Times New Roman"/>
          <w:bCs/>
          <w:iCs/>
          <w:spacing w:val="-2"/>
          <w:szCs w:val="28"/>
        </w:rPr>
        <w:t xml:space="preserve"> </w:t>
      </w:r>
      <w:r w:rsidRPr="00FD1023">
        <w:rPr>
          <w:rFonts w:ascii="Times New Roman" w:hAnsi="Times New Roman"/>
          <w:bCs/>
          <w:iCs/>
          <w:spacing w:val="-2"/>
          <w:szCs w:val="28"/>
          <w:lang w:val="en-US"/>
        </w:rPr>
        <w:t>PAKN của người dân về quy định và hành vi hành chính (</w:t>
      </w:r>
      <w:r w:rsidRPr="00FD1023">
        <w:rPr>
          <w:rFonts w:ascii="Times New Roman" w:hAnsi="Times New Roman"/>
          <w:bCs/>
          <w:i/>
          <w:iCs/>
          <w:spacing w:val="-2"/>
          <w:szCs w:val="28"/>
          <w:lang w:val="en-US"/>
        </w:rPr>
        <w:t xml:space="preserve">chưa bao gồm </w:t>
      </w:r>
      <w:r w:rsidRPr="00FD1023">
        <w:rPr>
          <w:rFonts w:ascii="Times New Roman" w:hAnsi="Times New Roman"/>
          <w:b/>
          <w:bCs/>
          <w:i/>
          <w:iCs/>
          <w:spacing w:val="-2"/>
          <w:szCs w:val="28"/>
          <w:lang w:val="en-US"/>
        </w:rPr>
        <w:t>13.826</w:t>
      </w:r>
      <w:r w:rsidRPr="00FD1023">
        <w:rPr>
          <w:rFonts w:ascii="Times New Roman" w:hAnsi="Times New Roman"/>
          <w:bCs/>
          <w:i/>
          <w:iCs/>
          <w:spacing w:val="-2"/>
          <w:szCs w:val="28"/>
          <w:lang w:val="en-US"/>
        </w:rPr>
        <w:t xml:space="preserve"> PAKN chuyển từ năm 2022 sang</w:t>
      </w:r>
      <w:r w:rsidRPr="00FD1023">
        <w:rPr>
          <w:rFonts w:ascii="Times New Roman" w:hAnsi="Times New Roman"/>
          <w:bCs/>
          <w:iCs/>
          <w:spacing w:val="-2"/>
          <w:szCs w:val="28"/>
          <w:lang w:val="en-US"/>
        </w:rPr>
        <w:t xml:space="preserve">); đã xem xét, xử lý </w:t>
      </w:r>
      <w:r w:rsidRPr="00FD1023">
        <w:rPr>
          <w:rFonts w:ascii="Times New Roman" w:hAnsi="Times New Roman"/>
          <w:b/>
          <w:spacing w:val="-2"/>
          <w:szCs w:val="28"/>
        </w:rPr>
        <w:t>41.996</w:t>
      </w:r>
      <w:r w:rsidRPr="00FD1023">
        <w:rPr>
          <w:rFonts w:ascii="Times New Roman" w:hAnsi="Times New Roman"/>
          <w:spacing w:val="-2"/>
          <w:szCs w:val="28"/>
        </w:rPr>
        <w:t xml:space="preserve"> </w:t>
      </w:r>
      <w:r w:rsidRPr="00FD1023">
        <w:rPr>
          <w:rFonts w:ascii="Times New Roman" w:hAnsi="Times New Roman"/>
          <w:bCs/>
          <w:iCs/>
          <w:spacing w:val="-2"/>
          <w:szCs w:val="28"/>
          <w:lang w:val="en-US"/>
        </w:rPr>
        <w:t xml:space="preserve">PAKN, đạt </w:t>
      </w:r>
      <w:r w:rsidRPr="00FD1023">
        <w:rPr>
          <w:rFonts w:ascii="Times New Roman" w:hAnsi="Times New Roman"/>
          <w:b/>
          <w:bCs/>
          <w:iCs/>
          <w:spacing w:val="-2"/>
          <w:szCs w:val="28"/>
          <w:lang w:val="en-US"/>
        </w:rPr>
        <w:t>52,6</w:t>
      </w:r>
      <w:r w:rsidRPr="00FD1023">
        <w:rPr>
          <w:rFonts w:ascii="Times New Roman" w:hAnsi="Times New Roman"/>
          <w:bCs/>
          <w:iCs/>
          <w:spacing w:val="-2"/>
          <w:szCs w:val="28"/>
          <w:lang w:val="en-US"/>
        </w:rPr>
        <w:t xml:space="preserve">% (41.996/79.835 PAKN), trong đó, các bộ, ngành đã xử lý </w:t>
      </w:r>
      <w:r w:rsidRPr="00FD1023">
        <w:rPr>
          <w:rFonts w:ascii="Times New Roman" w:hAnsi="Times New Roman"/>
          <w:b/>
          <w:spacing w:val="-2"/>
          <w:szCs w:val="28"/>
        </w:rPr>
        <w:t>12.154</w:t>
      </w:r>
      <w:r w:rsidRPr="00FD1023">
        <w:rPr>
          <w:rFonts w:ascii="Times New Roman" w:hAnsi="Times New Roman"/>
          <w:spacing w:val="-2"/>
          <w:szCs w:val="28"/>
        </w:rPr>
        <w:t xml:space="preserve"> </w:t>
      </w:r>
      <w:r w:rsidRPr="00FD1023">
        <w:rPr>
          <w:rFonts w:ascii="Times New Roman" w:hAnsi="Times New Roman"/>
          <w:bCs/>
          <w:iCs/>
          <w:spacing w:val="-2"/>
          <w:szCs w:val="28"/>
          <w:lang w:val="en-US"/>
        </w:rPr>
        <w:t xml:space="preserve">PAKN, đạt </w:t>
      </w:r>
      <w:r w:rsidRPr="00FD1023">
        <w:rPr>
          <w:rFonts w:ascii="Times New Roman" w:hAnsi="Times New Roman"/>
          <w:b/>
          <w:bCs/>
          <w:iCs/>
          <w:spacing w:val="-2"/>
          <w:szCs w:val="28"/>
          <w:lang w:val="en-US"/>
        </w:rPr>
        <w:t>28,09</w:t>
      </w:r>
      <w:r w:rsidRPr="00FD1023">
        <w:rPr>
          <w:rFonts w:ascii="Times New Roman" w:hAnsi="Times New Roman"/>
          <w:bCs/>
          <w:iCs/>
          <w:spacing w:val="-2"/>
          <w:szCs w:val="28"/>
          <w:lang w:val="en-US"/>
        </w:rPr>
        <w:t xml:space="preserve">%, các địa phương đã xử lý </w:t>
      </w:r>
      <w:r w:rsidRPr="00FD1023">
        <w:rPr>
          <w:rFonts w:ascii="Times New Roman" w:hAnsi="Times New Roman"/>
          <w:b/>
          <w:bCs/>
          <w:iCs/>
          <w:spacing w:val="-2"/>
          <w:szCs w:val="28"/>
          <w:lang w:val="en-US"/>
        </w:rPr>
        <w:t>29.842</w:t>
      </w:r>
      <w:r w:rsidRPr="00FD1023">
        <w:rPr>
          <w:rFonts w:ascii="Times New Roman" w:hAnsi="Times New Roman"/>
          <w:bCs/>
          <w:iCs/>
          <w:spacing w:val="-2"/>
          <w:szCs w:val="28"/>
          <w:lang w:val="en-US"/>
        </w:rPr>
        <w:t xml:space="preserve"> PAKN, đạt </w:t>
      </w:r>
      <w:r w:rsidRPr="00FD1023">
        <w:rPr>
          <w:rFonts w:ascii="Times New Roman" w:hAnsi="Times New Roman"/>
          <w:b/>
          <w:bCs/>
          <w:iCs/>
          <w:spacing w:val="-2"/>
          <w:szCs w:val="28"/>
          <w:lang w:val="en-US"/>
        </w:rPr>
        <w:t>81,6</w:t>
      </w:r>
      <w:r w:rsidRPr="00FD1023">
        <w:rPr>
          <w:rFonts w:ascii="Times New Roman" w:hAnsi="Times New Roman"/>
          <w:bCs/>
          <w:iCs/>
          <w:spacing w:val="-2"/>
          <w:szCs w:val="28"/>
          <w:lang w:val="en-US"/>
        </w:rPr>
        <w:t>%.</w:t>
      </w:r>
      <w:r w:rsidR="00115C88" w:rsidRPr="00FD1023">
        <w:rPr>
          <w:rFonts w:ascii="Times New Roman" w:hAnsi="Times New Roman"/>
          <w:bCs/>
          <w:iCs/>
          <w:spacing w:val="-2"/>
          <w:szCs w:val="28"/>
          <w:lang w:val="en-US"/>
        </w:rPr>
        <w:t xml:space="preserve"> </w:t>
      </w:r>
      <w:r w:rsidRPr="00FD1023">
        <w:rPr>
          <w:rFonts w:ascii="Times New Roman" w:hAnsi="Times New Roman"/>
          <w:bCs/>
          <w:iCs/>
          <w:spacing w:val="-2"/>
          <w:szCs w:val="28"/>
          <w:lang w:val="en-US"/>
        </w:rPr>
        <w:t xml:space="preserve">Một số bộ, địa phương làm tốt công tác này, như: Văn hóa, Thể thao và Du lịch (đạt 98,33%), Xây dựng (đạt 97,33%), Thanh tra Chính phủ (đạt 97,07%), </w:t>
      </w:r>
      <w:r w:rsidR="007E05E8" w:rsidRPr="00FD1023">
        <w:rPr>
          <w:rFonts w:ascii="Times New Roman" w:hAnsi="Times New Roman"/>
          <w:bCs/>
          <w:iCs/>
          <w:spacing w:val="-2"/>
          <w:szCs w:val="28"/>
          <w:lang w:val="en-US"/>
        </w:rPr>
        <w:t>L</w:t>
      </w:r>
      <w:r w:rsidRPr="00FD1023">
        <w:rPr>
          <w:rFonts w:ascii="Times New Roman" w:hAnsi="Times New Roman"/>
          <w:bCs/>
          <w:iCs/>
          <w:spacing w:val="-2"/>
          <w:szCs w:val="28"/>
          <w:lang w:val="en-US"/>
        </w:rPr>
        <w:t>ai Châu (đạt 100%), Bắc Ninh (đạt 99,11%), Hòa Bình (đạt 98,6%), Đà Nẵng (đạt 98,42%), Hậu Giang (đạt 98,0%), Tiền Giang (đạt 97,88%),…</w:t>
      </w:r>
    </w:p>
    <w:p w14:paraId="37B1B5F4" w14:textId="5F1D4A2C" w:rsidR="007E05E8" w:rsidRPr="00FD1023" w:rsidRDefault="007E05E8" w:rsidP="006460B3">
      <w:pPr>
        <w:pStyle w:val="BodyTextIndent"/>
        <w:tabs>
          <w:tab w:val="left" w:pos="840"/>
        </w:tabs>
        <w:spacing w:after="100"/>
        <w:ind w:right="0" w:firstLine="709"/>
        <w:rPr>
          <w:rFonts w:ascii="Times New Roman" w:hAnsi="Times New Roman"/>
          <w:bCs/>
          <w:iCs/>
          <w:spacing w:val="-4"/>
          <w:szCs w:val="28"/>
          <w:lang w:val="en-US"/>
        </w:rPr>
      </w:pPr>
      <w:r w:rsidRPr="00FD1023">
        <w:rPr>
          <w:rFonts w:ascii="Times New Roman" w:hAnsi="Times New Roman"/>
          <w:b/>
          <w:bCs/>
          <w:i/>
          <w:iCs/>
          <w:spacing w:val="-10"/>
          <w:szCs w:val="28"/>
          <w:lang w:val="en-US"/>
        </w:rPr>
        <w:t xml:space="preserve">b) </w:t>
      </w:r>
      <w:r w:rsidR="00FF71A9" w:rsidRPr="00FD1023">
        <w:rPr>
          <w:rFonts w:ascii="Times New Roman" w:hAnsi="Times New Roman"/>
          <w:b/>
          <w:bCs/>
          <w:i/>
          <w:iCs/>
          <w:spacing w:val="-10"/>
          <w:szCs w:val="28"/>
          <w:lang w:val="en-US"/>
        </w:rPr>
        <w:t xml:space="preserve">Về xử lý đề xuất, kiến nghị của doanh nghiệp </w:t>
      </w:r>
      <w:r w:rsidR="00562A39" w:rsidRPr="00FD1023">
        <w:rPr>
          <w:rFonts w:ascii="Times New Roman" w:hAnsi="Times New Roman"/>
          <w:b/>
          <w:bCs/>
          <w:i/>
          <w:iCs/>
          <w:spacing w:val="-10"/>
          <w:szCs w:val="28"/>
          <w:lang w:val="en-US"/>
        </w:rPr>
        <w:t xml:space="preserve">tại </w:t>
      </w:r>
      <w:r w:rsidR="00FF71A9" w:rsidRPr="00FD1023">
        <w:rPr>
          <w:rFonts w:ascii="Times New Roman" w:hAnsi="Times New Roman"/>
          <w:b/>
          <w:bCs/>
          <w:i/>
          <w:iCs/>
          <w:spacing w:val="-10"/>
          <w:szCs w:val="28"/>
          <w:lang w:val="en-US"/>
        </w:rPr>
        <w:t>Nghị quyết số 97/NQ-CP</w:t>
      </w:r>
      <w:r w:rsidR="00FF71A9" w:rsidRPr="00FD1023">
        <w:rPr>
          <w:rFonts w:ascii="Times New Roman" w:hAnsi="Times New Roman"/>
          <w:b/>
          <w:bCs/>
          <w:i/>
          <w:iCs/>
          <w:spacing w:val="-4"/>
          <w:szCs w:val="28"/>
          <w:lang w:val="en-US"/>
        </w:rPr>
        <w:t xml:space="preserve"> ngày 08 tháng 7 năm 2023 của Chính phủ</w:t>
      </w:r>
    </w:p>
    <w:p w14:paraId="52F5CE62" w14:textId="5121889E" w:rsidR="00851AF3" w:rsidRPr="00FD1023" w:rsidRDefault="00FF71A9" w:rsidP="006460B3">
      <w:pPr>
        <w:pStyle w:val="BodyTextIndent"/>
        <w:tabs>
          <w:tab w:val="left" w:pos="840"/>
        </w:tabs>
        <w:spacing w:after="100"/>
        <w:ind w:right="0" w:firstLine="709"/>
        <w:rPr>
          <w:rFonts w:ascii="Times New Roman" w:hAnsi="Times New Roman"/>
          <w:szCs w:val="28"/>
        </w:rPr>
      </w:pPr>
      <w:r w:rsidRPr="00FD1023">
        <w:rPr>
          <w:rFonts w:ascii="Times New Roman" w:hAnsi="Times New Roman"/>
          <w:bCs/>
          <w:iCs/>
          <w:spacing w:val="-4"/>
          <w:szCs w:val="28"/>
          <w:lang w:val="en-US"/>
        </w:rPr>
        <w:t xml:space="preserve">Đến ngày 25/12/2023, các bộ, ngành đã xem xét, xử lý tổng số </w:t>
      </w:r>
      <w:r w:rsidRPr="00FD1023">
        <w:rPr>
          <w:rFonts w:ascii="Times New Roman" w:hAnsi="Times New Roman"/>
          <w:b/>
          <w:spacing w:val="-4"/>
          <w:szCs w:val="28"/>
        </w:rPr>
        <w:t>372</w:t>
      </w:r>
      <w:r w:rsidRPr="00FD1023">
        <w:rPr>
          <w:rFonts w:ascii="Times New Roman" w:hAnsi="Times New Roman"/>
          <w:b/>
          <w:bCs/>
          <w:iCs/>
          <w:spacing w:val="-4"/>
          <w:szCs w:val="28"/>
          <w:lang w:val="en-US"/>
        </w:rPr>
        <w:t>/401</w:t>
      </w:r>
      <w:r w:rsidRPr="00FD1023">
        <w:rPr>
          <w:rFonts w:ascii="Times New Roman" w:hAnsi="Times New Roman"/>
          <w:bCs/>
          <w:iCs/>
          <w:spacing w:val="-4"/>
          <w:szCs w:val="28"/>
          <w:lang w:val="en-US"/>
        </w:rPr>
        <w:t xml:space="preserve"> đề xuất, kiến nghị của các doanh nghiệp nêu tại Nghị quyết số 97</w:t>
      </w:r>
      <w:r w:rsidR="007E05E8" w:rsidRPr="00FD1023">
        <w:rPr>
          <w:rFonts w:ascii="Times New Roman" w:hAnsi="Times New Roman"/>
          <w:bCs/>
          <w:iCs/>
          <w:spacing w:val="-4"/>
          <w:szCs w:val="28"/>
          <w:lang w:val="en-US"/>
        </w:rPr>
        <w:t>/NQ-CP</w:t>
      </w:r>
      <w:r w:rsidRPr="00FD1023">
        <w:rPr>
          <w:rFonts w:ascii="Times New Roman" w:hAnsi="Times New Roman"/>
          <w:bCs/>
          <w:iCs/>
          <w:spacing w:val="-4"/>
          <w:szCs w:val="28"/>
          <w:lang w:val="en-US"/>
        </w:rPr>
        <w:t xml:space="preserve">, đạt </w:t>
      </w:r>
      <w:r w:rsidRPr="00FD1023">
        <w:rPr>
          <w:rFonts w:ascii="Times New Roman" w:hAnsi="Times New Roman"/>
          <w:b/>
          <w:bCs/>
          <w:iCs/>
          <w:spacing w:val="-4"/>
          <w:szCs w:val="28"/>
          <w:lang w:val="en-US"/>
        </w:rPr>
        <w:t>93</w:t>
      </w:r>
      <w:r w:rsidRPr="00FD1023">
        <w:rPr>
          <w:rFonts w:ascii="Times New Roman" w:hAnsi="Times New Roman"/>
          <w:bCs/>
          <w:iCs/>
          <w:spacing w:val="-4"/>
          <w:szCs w:val="28"/>
          <w:lang w:val="en-US"/>
        </w:rPr>
        <w:t>%, trong đó, 12/17 bộ, ngành đã xử lý xong 100%, 03 bộ, ngành xử lý đạt trên 50%, còn 02 bộ xử lý đạt dưới 50%</w:t>
      </w:r>
      <w:r w:rsidR="00562A39" w:rsidRPr="00FD1023">
        <w:rPr>
          <w:rFonts w:ascii="Times New Roman" w:hAnsi="Times New Roman"/>
          <w:bCs/>
          <w:iCs/>
          <w:spacing w:val="-4"/>
          <w:szCs w:val="28"/>
          <w:lang w:val="en-US"/>
        </w:rPr>
        <w:t xml:space="preserve"> </w:t>
      </w:r>
      <w:r w:rsidR="00851AF3" w:rsidRPr="00FD1023">
        <w:rPr>
          <w:rFonts w:ascii="Times New Roman" w:hAnsi="Times New Roman"/>
          <w:szCs w:val="28"/>
        </w:rPr>
        <w:t>(</w:t>
      </w:r>
      <w:r w:rsidR="00851AF3" w:rsidRPr="00FD1023">
        <w:rPr>
          <w:rFonts w:ascii="Times New Roman" w:hAnsi="Times New Roman"/>
          <w:i/>
          <w:szCs w:val="28"/>
        </w:rPr>
        <w:t xml:space="preserve">Chi tiết tại Phụ lục </w:t>
      </w:r>
      <w:r w:rsidR="00E67249" w:rsidRPr="00FD1023">
        <w:rPr>
          <w:rFonts w:ascii="Times New Roman" w:hAnsi="Times New Roman"/>
          <w:i/>
          <w:szCs w:val="28"/>
        </w:rPr>
        <w:t>V</w:t>
      </w:r>
      <w:r w:rsidR="007E05E8" w:rsidRPr="00FD1023">
        <w:rPr>
          <w:rFonts w:ascii="Times New Roman" w:hAnsi="Times New Roman"/>
          <w:i/>
          <w:szCs w:val="28"/>
        </w:rPr>
        <w:t>II</w:t>
      </w:r>
      <w:r w:rsidR="00851AF3" w:rsidRPr="00FD1023">
        <w:rPr>
          <w:rFonts w:ascii="Times New Roman" w:hAnsi="Times New Roman"/>
          <w:szCs w:val="28"/>
        </w:rPr>
        <w:t>)</w:t>
      </w:r>
      <w:r w:rsidR="007E05E8" w:rsidRPr="00FD1023">
        <w:rPr>
          <w:rFonts w:ascii="Times New Roman" w:hAnsi="Times New Roman"/>
          <w:szCs w:val="28"/>
        </w:rPr>
        <w:t>.</w:t>
      </w:r>
    </w:p>
    <w:p w14:paraId="0623F942" w14:textId="5093C3A9" w:rsidR="006C2F36" w:rsidRPr="00FD1023" w:rsidRDefault="006C2F36" w:rsidP="006460B3">
      <w:pPr>
        <w:pStyle w:val="BodyTextIndent"/>
        <w:tabs>
          <w:tab w:val="left" w:pos="840"/>
        </w:tabs>
        <w:spacing w:after="100"/>
        <w:ind w:right="0" w:firstLine="709"/>
        <w:rPr>
          <w:rFonts w:ascii="Times New Roman" w:hAnsi="Times New Roman"/>
          <w:b/>
          <w:bCs/>
          <w:i/>
          <w:iCs/>
          <w:color w:val="000000" w:themeColor="text1"/>
          <w:spacing w:val="-4"/>
          <w:szCs w:val="28"/>
          <w:lang w:val="en-US"/>
        </w:rPr>
      </w:pPr>
      <w:r w:rsidRPr="00FD1023">
        <w:rPr>
          <w:rFonts w:ascii="Times New Roman" w:hAnsi="Times New Roman"/>
          <w:b/>
          <w:bCs/>
          <w:i/>
          <w:iCs/>
          <w:color w:val="000000" w:themeColor="text1"/>
          <w:spacing w:val="-4"/>
          <w:szCs w:val="28"/>
          <w:lang w:val="en-US"/>
        </w:rPr>
        <w:t>c) Đối với các đề xuất, kiến nghị của các cơ quan thành viên Hội đồng tư vấn cải cách TTHC gửi Tổ công tác cải cách TTHC</w:t>
      </w:r>
    </w:p>
    <w:p w14:paraId="3DCBFF64" w14:textId="05DEA426" w:rsidR="006C2F36" w:rsidRPr="00FD1023" w:rsidRDefault="006C2F36" w:rsidP="006460B3">
      <w:pPr>
        <w:pStyle w:val="BodyTextIndent"/>
        <w:tabs>
          <w:tab w:val="left" w:pos="840"/>
        </w:tabs>
        <w:spacing w:after="100"/>
        <w:ind w:right="0" w:firstLine="709"/>
        <w:rPr>
          <w:rFonts w:ascii="Times New Roman" w:hAnsi="Times New Roman"/>
          <w:bCs/>
          <w:iCs/>
          <w:color w:val="000000" w:themeColor="text1"/>
          <w:spacing w:val="-4"/>
          <w:szCs w:val="28"/>
          <w:lang w:val="en-US"/>
        </w:rPr>
      </w:pPr>
      <w:r w:rsidRPr="00FD1023">
        <w:rPr>
          <w:rFonts w:ascii="Times New Roman" w:hAnsi="Times New Roman"/>
          <w:bCs/>
          <w:iCs/>
          <w:color w:val="000000" w:themeColor="text1"/>
          <w:spacing w:val="-4"/>
          <w:szCs w:val="28"/>
          <w:lang w:val="en-US"/>
        </w:rPr>
        <w:t xml:space="preserve">Đến nay, các bộ, ngành đã nghiên cứu, trả lời </w:t>
      </w:r>
      <w:r w:rsidRPr="00FD1023">
        <w:rPr>
          <w:rFonts w:ascii="Times New Roman" w:hAnsi="Times New Roman"/>
          <w:b/>
          <w:bCs/>
          <w:iCs/>
          <w:color w:val="000000" w:themeColor="text1"/>
          <w:spacing w:val="-4"/>
          <w:szCs w:val="28"/>
          <w:lang w:val="en-US"/>
        </w:rPr>
        <w:t>108/122</w:t>
      </w:r>
      <w:r w:rsidRPr="00FD1023">
        <w:rPr>
          <w:rFonts w:ascii="Times New Roman" w:hAnsi="Times New Roman"/>
          <w:bCs/>
          <w:iCs/>
          <w:color w:val="000000" w:themeColor="text1"/>
          <w:spacing w:val="-4"/>
          <w:szCs w:val="28"/>
          <w:lang w:val="en-US"/>
        </w:rPr>
        <w:t xml:space="preserve"> phản ánh, kiến nghị, đạt </w:t>
      </w:r>
      <w:r w:rsidRPr="00FD1023">
        <w:rPr>
          <w:rFonts w:ascii="Times New Roman" w:hAnsi="Times New Roman"/>
          <w:b/>
          <w:bCs/>
          <w:iCs/>
          <w:color w:val="000000" w:themeColor="text1"/>
          <w:spacing w:val="-4"/>
          <w:szCs w:val="28"/>
          <w:lang w:val="en-US"/>
        </w:rPr>
        <w:t>88,5</w:t>
      </w:r>
      <w:r w:rsidRPr="00FD1023">
        <w:rPr>
          <w:rFonts w:ascii="Times New Roman" w:hAnsi="Times New Roman"/>
          <w:bCs/>
          <w:iCs/>
          <w:color w:val="000000" w:themeColor="text1"/>
          <w:spacing w:val="-4"/>
          <w:szCs w:val="28"/>
          <w:lang w:val="en-US"/>
        </w:rPr>
        <w:t>%, trong đó, 15/16 bộ, ngành đã xử lý xong 100%, còn Bộ Lao động - Thương binh và Xã hội chưa hoàn thành việc xử lý phản ánh, kiến nghị.</w:t>
      </w:r>
    </w:p>
    <w:p w14:paraId="1B91AF29" w14:textId="12AE96A0" w:rsidR="008D035B" w:rsidRPr="00FD1023" w:rsidRDefault="008D035B" w:rsidP="006460B3">
      <w:pPr>
        <w:spacing w:after="100"/>
        <w:ind w:firstLine="720"/>
        <w:jc w:val="both"/>
        <w:rPr>
          <w:b/>
          <w:i/>
          <w:sz w:val="26"/>
          <w:szCs w:val="26"/>
        </w:rPr>
      </w:pPr>
      <w:r w:rsidRPr="00FD1023">
        <w:rPr>
          <w:b/>
          <w:sz w:val="26"/>
          <w:szCs w:val="26"/>
        </w:rPr>
        <w:t xml:space="preserve">II. </w:t>
      </w:r>
      <w:r w:rsidR="00C14B9F" w:rsidRPr="00FD1023">
        <w:rPr>
          <w:b/>
          <w:sz w:val="26"/>
          <w:szCs w:val="26"/>
        </w:rPr>
        <w:t>NHẬN XÉT, ĐÁNH GIÁ</w:t>
      </w:r>
    </w:p>
    <w:p w14:paraId="645BF3EA" w14:textId="5C897AFB" w:rsidR="00C14B9F" w:rsidRPr="00FD1023" w:rsidRDefault="00C14B9F" w:rsidP="006460B3">
      <w:pPr>
        <w:shd w:val="clear" w:color="auto" w:fill="FFFFFF"/>
        <w:spacing w:after="100"/>
        <w:ind w:firstLine="720"/>
        <w:jc w:val="both"/>
        <w:rPr>
          <w:b/>
          <w:spacing w:val="-4"/>
        </w:rPr>
      </w:pPr>
      <w:r w:rsidRPr="00FD1023">
        <w:rPr>
          <w:b/>
        </w:rPr>
        <w:t xml:space="preserve">1. </w:t>
      </w:r>
      <w:r w:rsidR="001528F3">
        <w:rPr>
          <w:b/>
        </w:rPr>
        <w:t>Những mặt đạt được</w:t>
      </w:r>
    </w:p>
    <w:p w14:paraId="07B8B828" w14:textId="07AC2B11" w:rsidR="006C2F36" w:rsidRPr="005875BD" w:rsidRDefault="006C2F36" w:rsidP="006460B3">
      <w:pPr>
        <w:spacing w:after="100"/>
        <w:ind w:firstLine="720"/>
        <w:jc w:val="both"/>
        <w:rPr>
          <w:color w:val="000000" w:themeColor="text1"/>
          <w:spacing w:val="-4"/>
        </w:rPr>
      </w:pPr>
      <w:r w:rsidRPr="005875BD">
        <w:rPr>
          <w:color w:val="000000" w:themeColor="text1"/>
          <w:spacing w:val="-4"/>
        </w:rPr>
        <w:t xml:space="preserve">Năm 2023, công tác cải cách TTHC đã đạt được nhiều kết quả tích cực, </w:t>
      </w:r>
      <w:r w:rsidR="00031524" w:rsidRPr="005875BD">
        <w:rPr>
          <w:color w:val="000000" w:themeColor="text1"/>
          <w:spacing w:val="-4"/>
        </w:rPr>
        <w:t>một số</w:t>
      </w:r>
      <w:r w:rsidRPr="005875BD">
        <w:rPr>
          <w:color w:val="000000" w:themeColor="text1"/>
          <w:spacing w:val="-4"/>
        </w:rPr>
        <w:t xml:space="preserve"> chỉ tiêu </w:t>
      </w:r>
      <w:r w:rsidR="00031524" w:rsidRPr="005875BD">
        <w:rPr>
          <w:color w:val="000000" w:themeColor="text1"/>
          <w:spacing w:val="-4"/>
        </w:rPr>
        <w:t xml:space="preserve">quan trọng </w:t>
      </w:r>
      <w:r w:rsidRPr="005875BD">
        <w:rPr>
          <w:color w:val="000000" w:themeColor="text1"/>
          <w:spacing w:val="-4"/>
        </w:rPr>
        <w:t xml:space="preserve">về </w:t>
      </w:r>
      <w:r w:rsidR="00031524" w:rsidRPr="005875BD">
        <w:rPr>
          <w:color w:val="000000" w:themeColor="text1"/>
          <w:spacing w:val="-4"/>
        </w:rPr>
        <w:t>dịch vụ công trực tuyến</w:t>
      </w:r>
      <w:r w:rsidRPr="005875BD">
        <w:rPr>
          <w:color w:val="000000" w:themeColor="text1"/>
          <w:spacing w:val="-4"/>
        </w:rPr>
        <w:t xml:space="preserve"> nêu tại Nghị quyết số 01/NQ-CP của Chính phủ đã đạt và vượt chỉ tiêu</w:t>
      </w:r>
      <w:r w:rsidRPr="005875BD">
        <w:rPr>
          <w:rStyle w:val="FootnoteReference"/>
          <w:b/>
          <w:color w:val="000000" w:themeColor="text1"/>
          <w:spacing w:val="-4"/>
        </w:rPr>
        <w:footnoteReference w:id="29"/>
      </w:r>
      <w:r w:rsidRPr="005875BD">
        <w:rPr>
          <w:color w:val="000000" w:themeColor="text1"/>
          <w:spacing w:val="-4"/>
        </w:rPr>
        <w:t xml:space="preserve">. Cải cách TTHC gắn với chuyển đổi số quốc gia được triển khai toàn diện cả về chiều rộng và chiều sâu từ khâu xây dựng hoàn thiện thể chế đến khâu tổ chức thực hiện; cung cấp dịch vụ công trực tuyến và đổi </w:t>
      </w:r>
      <w:r w:rsidRPr="005875BD">
        <w:rPr>
          <w:color w:val="000000" w:themeColor="text1"/>
          <w:spacing w:val="-4"/>
        </w:rPr>
        <w:lastRenderedPageBreak/>
        <w:t xml:space="preserve">mới việc giải quyết TTHC tại các cấp chính quyền theo hướng số hóa. Việc khai thác, tái sử dụng dữ liệu và đánh giá chất lượng dịch vụ công dựa trên dữ liệu đã từng bước đi vào nề nếp, thực chất và hiệu quả hơn. Qua đó, tăng cường kỷ cương hành chính, cá thể hóa trách nhiệm, nâng cao chất lượng phục vụ người dân, doanh nghiệp. </w:t>
      </w:r>
    </w:p>
    <w:p w14:paraId="547D8A4E" w14:textId="5CB4B0CF" w:rsidR="006C2F36" w:rsidRPr="00FD1023" w:rsidRDefault="006C2F36" w:rsidP="006460B3">
      <w:pPr>
        <w:spacing w:after="100"/>
        <w:ind w:firstLine="720"/>
        <w:jc w:val="both"/>
        <w:rPr>
          <w:color w:val="000000" w:themeColor="text1"/>
        </w:rPr>
      </w:pPr>
      <w:r w:rsidRPr="00FD1023">
        <w:rPr>
          <w:color w:val="000000" w:themeColor="text1"/>
        </w:rPr>
        <w:t xml:space="preserve">Công tác chỉ đạo điều hành được sự quan tâm sâu sát thường xuyên của Chính phủ, Thủ tướng Chính phủ, của người đứng </w:t>
      </w:r>
      <w:r w:rsidR="00DC15D4">
        <w:rPr>
          <w:color w:val="000000" w:themeColor="text1"/>
        </w:rPr>
        <w:t>đ</w:t>
      </w:r>
      <w:r w:rsidRPr="00FD1023">
        <w:rPr>
          <w:color w:val="000000" w:themeColor="text1"/>
        </w:rPr>
        <w:t>ầu các bộ, ngành, địa phương. Những điểm nghẽn về cải cách TTHC đã được quan tâm xem xét tháo gỡ cả về thể chế lẫn hạ tầng công nghệ, dịch vụ công, số hóa dữ liệu và kết nối chia sẻ dữ liệu, nguồn lực bảo đảm.</w:t>
      </w:r>
    </w:p>
    <w:p w14:paraId="68FFED90" w14:textId="2A0670C7" w:rsidR="00F720DB" w:rsidRPr="000F4DAD" w:rsidRDefault="006C2F36" w:rsidP="006460B3">
      <w:pPr>
        <w:spacing w:after="100"/>
        <w:ind w:firstLine="720"/>
        <w:jc w:val="both"/>
        <w:rPr>
          <w:color w:val="000000" w:themeColor="text1"/>
        </w:rPr>
      </w:pPr>
      <w:r w:rsidRPr="00FD1023">
        <w:rPr>
          <w:color w:val="000000" w:themeColor="text1"/>
        </w:rPr>
        <w:t>Bên cạnh đó, Tổ công tác cải cách TTHC được thành lập và Hội đồng tư vấn cải cách TTHC của Thủ tướng Chính phủ được kiện toàn đã góp phần khắc phục điểm yếu trong khâu thực thi, tổ chức thực hiện cải cách TTHC, huy động sự tham gia rộng rãi của cộng đồng doanh nghiệp và người dân vào quá trình cải cách của Chính phủ, bảo đảm cải cách là hướng tới người dân, phục vụ người dân cũng như nâng cao khả năng phản ứng chính sách. Công tác cải cách TTHC đã mang lại những lợi ích thiết thực góp phần cải thiện môi trường kinh doanh</w:t>
      </w:r>
      <w:r w:rsidRPr="00DC15D4">
        <w:rPr>
          <w:rStyle w:val="FootnoteReference"/>
          <w:b/>
          <w:color w:val="000000" w:themeColor="text1"/>
        </w:rPr>
        <w:footnoteReference w:id="30"/>
      </w:r>
      <w:r w:rsidRPr="00FD1023">
        <w:rPr>
          <w:color w:val="000000" w:themeColor="text1"/>
        </w:rPr>
        <w:t>, nâng cao năng lực cạnh tranh quốc gia, đặc biệt cắt giảm chi phí cho xã hội</w:t>
      </w:r>
      <w:r w:rsidRPr="00DC15D4">
        <w:rPr>
          <w:rStyle w:val="FootnoteReference"/>
          <w:b/>
          <w:color w:val="000000" w:themeColor="text1"/>
        </w:rPr>
        <w:footnoteReference w:id="31"/>
      </w:r>
      <w:r w:rsidRPr="00FD1023">
        <w:rPr>
          <w:color w:val="000000" w:themeColor="text1"/>
        </w:rPr>
        <w:t>.</w:t>
      </w:r>
    </w:p>
    <w:p w14:paraId="18516599" w14:textId="30CC2475" w:rsidR="002A4E4C" w:rsidRPr="00FD1023" w:rsidRDefault="00C14B9F" w:rsidP="006460B3">
      <w:pPr>
        <w:shd w:val="clear" w:color="auto" w:fill="FFFFFF"/>
        <w:spacing w:after="100"/>
        <w:ind w:firstLine="720"/>
        <w:jc w:val="both"/>
        <w:rPr>
          <w:b/>
        </w:rPr>
      </w:pPr>
      <w:r w:rsidRPr="00FD1023">
        <w:rPr>
          <w:b/>
        </w:rPr>
        <w:t>2</w:t>
      </w:r>
      <w:r w:rsidR="008D035B" w:rsidRPr="00FD1023">
        <w:rPr>
          <w:b/>
        </w:rPr>
        <w:t>.</w:t>
      </w:r>
      <w:r w:rsidR="002A4E4C" w:rsidRPr="00FD1023">
        <w:rPr>
          <w:b/>
        </w:rPr>
        <w:t xml:space="preserve"> Tồn tại, hạn chế</w:t>
      </w:r>
    </w:p>
    <w:p w14:paraId="7BBFBAC2" w14:textId="3E31D1FB" w:rsidR="00EF2C2F" w:rsidRPr="00FD1023" w:rsidRDefault="00EF2C2F" w:rsidP="006460B3">
      <w:pPr>
        <w:shd w:val="clear" w:color="auto" w:fill="FFFFFF"/>
        <w:spacing w:after="100"/>
        <w:ind w:firstLine="720"/>
        <w:jc w:val="both"/>
      </w:pPr>
      <w:r w:rsidRPr="00FD1023">
        <w:t>Bên cạnh những kết quả đạt được, công tác cải cách TTHC trong năm 2023 vẫn còn một số tồn tại, hạn chế như sau:</w:t>
      </w:r>
    </w:p>
    <w:p w14:paraId="23DDE2E7" w14:textId="65F9B9E5" w:rsidR="00FF71A9" w:rsidRPr="00FD1023" w:rsidRDefault="009B007F" w:rsidP="006460B3">
      <w:pPr>
        <w:spacing w:after="100"/>
        <w:ind w:firstLine="709"/>
        <w:jc w:val="both"/>
        <w:rPr>
          <w:lang w:val="en-US"/>
        </w:rPr>
      </w:pPr>
      <w:r>
        <w:t>(1)</w:t>
      </w:r>
      <w:r w:rsidR="00FF71A9" w:rsidRPr="00FD1023">
        <w:t xml:space="preserve"> </w:t>
      </w:r>
      <w:r w:rsidR="008C5644" w:rsidRPr="00FD1023">
        <w:t xml:space="preserve">Việc cắt giảm, đơn giản hóa TTHC, QĐKD có lúc, có nơi còn chậm, chưa kịp thời, quyết liệt: (i) </w:t>
      </w:r>
      <w:r w:rsidR="00FF71A9" w:rsidRPr="00FD1023">
        <w:t xml:space="preserve">Còn 03 </w:t>
      </w:r>
      <w:r w:rsidR="00FF71A9" w:rsidRPr="00FD1023">
        <w:rPr>
          <w:bCs/>
          <w:iCs/>
          <w:lang w:val="en-US"/>
        </w:rPr>
        <w:t>bộ</w:t>
      </w:r>
      <w:r w:rsidR="00FF71A9" w:rsidRPr="00FD1023">
        <w:rPr>
          <w:rStyle w:val="FootnoteReference"/>
          <w:b/>
          <w:bCs/>
          <w:iCs/>
          <w:lang w:val="en-US"/>
        </w:rPr>
        <w:footnoteReference w:id="32"/>
      </w:r>
      <w:r w:rsidR="00FF71A9" w:rsidRPr="00FD1023">
        <w:rPr>
          <w:b/>
          <w:bCs/>
          <w:iCs/>
          <w:lang w:val="en-US"/>
        </w:rPr>
        <w:t xml:space="preserve"> </w:t>
      </w:r>
      <w:r w:rsidR="00DB0F10">
        <w:rPr>
          <w:bCs/>
          <w:iCs/>
          <w:lang w:val="en-US"/>
        </w:rPr>
        <w:t>đang</w:t>
      </w:r>
      <w:r w:rsidR="00FF71A9" w:rsidRPr="00FD1023">
        <w:rPr>
          <w:bCs/>
          <w:iCs/>
          <w:lang w:val="en-US"/>
        </w:rPr>
        <w:t xml:space="preserve"> trình Thủ tướng Chính phủ phương án cắt giảm, đơn giản hóa QĐKD</w:t>
      </w:r>
      <w:r w:rsidR="008C5644" w:rsidRPr="00FD1023">
        <w:rPr>
          <w:bCs/>
          <w:iCs/>
          <w:lang w:val="en-US"/>
        </w:rPr>
        <w:t>;</w:t>
      </w:r>
      <w:r w:rsidR="00FF71A9" w:rsidRPr="00FD1023">
        <w:rPr>
          <w:bCs/>
          <w:iCs/>
          <w:lang w:val="en-US"/>
        </w:rPr>
        <w:t xml:space="preserve"> </w:t>
      </w:r>
      <w:r w:rsidR="008C5644" w:rsidRPr="00FD1023">
        <w:rPr>
          <w:bCs/>
          <w:iCs/>
          <w:lang w:val="en-US"/>
        </w:rPr>
        <w:t>n</w:t>
      </w:r>
      <w:r w:rsidR="00FF71A9" w:rsidRPr="00FD1023">
        <w:rPr>
          <w:bCs/>
          <w:iCs/>
          <w:lang w:val="en-US"/>
        </w:rPr>
        <w:t xml:space="preserve">hiều </w:t>
      </w:r>
      <w:r w:rsidR="008C5644" w:rsidRPr="00FD1023">
        <w:rPr>
          <w:bCs/>
          <w:iCs/>
          <w:lang w:val="en-US"/>
        </w:rPr>
        <w:t>b</w:t>
      </w:r>
      <w:r w:rsidR="00FF71A9" w:rsidRPr="00FD1023">
        <w:rPr>
          <w:bCs/>
          <w:iCs/>
          <w:lang w:val="en-US"/>
        </w:rPr>
        <w:t>ộ</w:t>
      </w:r>
      <w:r w:rsidR="008C5644" w:rsidRPr="00FD1023">
        <w:rPr>
          <w:bCs/>
          <w:iCs/>
          <w:lang w:val="en-US"/>
        </w:rPr>
        <w:t>, ngành</w:t>
      </w:r>
      <w:r w:rsidR="00FF71A9" w:rsidRPr="00FD1023">
        <w:rPr>
          <w:bCs/>
          <w:iCs/>
          <w:lang w:val="en-US"/>
        </w:rPr>
        <w:t xml:space="preserve"> chưa quan tâm, thực hiện thống kê, báo cáo, cập nhật, công khai kết quả cắt giảm, đơn giản hóa sau khi các </w:t>
      </w:r>
      <w:r w:rsidR="005875BD">
        <w:rPr>
          <w:bCs/>
          <w:iCs/>
          <w:lang w:val="en-US"/>
        </w:rPr>
        <w:t>thực thi</w:t>
      </w:r>
      <w:r w:rsidR="00FF71A9" w:rsidRPr="00FD1023">
        <w:rPr>
          <w:bCs/>
          <w:iCs/>
          <w:lang w:val="en-US"/>
        </w:rPr>
        <w:t xml:space="preserve"> được ban hành</w:t>
      </w:r>
      <w:r w:rsidR="00FF71A9" w:rsidRPr="00DC15D4">
        <w:rPr>
          <w:b/>
          <w:bCs/>
          <w:iCs/>
          <w:vertAlign w:val="superscript"/>
          <w:lang w:val="en-US"/>
        </w:rPr>
        <w:footnoteReference w:id="33"/>
      </w:r>
      <w:r w:rsidR="00FF71A9" w:rsidRPr="00FD1023">
        <w:rPr>
          <w:bCs/>
          <w:iCs/>
          <w:lang w:val="en-US"/>
        </w:rPr>
        <w:t xml:space="preserve">; </w:t>
      </w:r>
      <w:r w:rsidR="008C5644" w:rsidRPr="00FD1023">
        <w:rPr>
          <w:bCs/>
          <w:iCs/>
          <w:lang w:val="en-US"/>
        </w:rPr>
        <w:t xml:space="preserve">(ii) </w:t>
      </w:r>
      <w:r w:rsidR="005875BD">
        <w:rPr>
          <w:bCs/>
          <w:iCs/>
          <w:lang w:val="en-US"/>
        </w:rPr>
        <w:t>V</w:t>
      </w:r>
      <w:r w:rsidR="00FF71A9" w:rsidRPr="00FD1023">
        <w:t>iệc rà soát, đề xuất phương án đơn giản hóa TTHC nội bộ</w:t>
      </w:r>
      <w:r w:rsidR="005875BD">
        <w:t>,</w:t>
      </w:r>
      <w:r w:rsidR="00FF71A9" w:rsidRPr="00FD1023">
        <w:t xml:space="preserve"> các nhóm TTHC nội bộ trọng tâm ưu tiên</w:t>
      </w:r>
      <w:r w:rsidR="007E05E8" w:rsidRPr="00FD1023">
        <w:t xml:space="preserve">, cũng như </w:t>
      </w:r>
      <w:r w:rsidR="007E05E8" w:rsidRPr="00FD1023">
        <w:rPr>
          <w:lang w:val="vi-VN"/>
        </w:rPr>
        <w:t>công bố bổ sung danh mục TTHC nội bộ theo yêu cầu của Tổ công tác cải cách TTHC của Thủ tướng Chính phủ</w:t>
      </w:r>
      <w:r w:rsidR="00FF71A9" w:rsidRPr="00FD1023">
        <w:t xml:space="preserve"> chưa đáp ứng yêu cầu về chất lượng và tiến độ; </w:t>
      </w:r>
      <w:r w:rsidR="008C5644" w:rsidRPr="00FD1023">
        <w:t xml:space="preserve">(iii) </w:t>
      </w:r>
      <w:r w:rsidR="005875BD">
        <w:t>C</w:t>
      </w:r>
      <w:bookmarkStart w:id="4" w:name="_GoBack"/>
      <w:bookmarkEnd w:id="4"/>
      <w:r w:rsidR="00FF71A9" w:rsidRPr="00FD1023">
        <w:rPr>
          <w:bCs/>
          <w:iCs/>
          <w:lang w:val="en-US"/>
        </w:rPr>
        <w:t xml:space="preserve">òn </w:t>
      </w:r>
      <w:r w:rsidR="00FF71A9" w:rsidRPr="00FD1023">
        <w:rPr>
          <w:lang w:val="vi-VN"/>
        </w:rPr>
        <w:t>0</w:t>
      </w:r>
      <w:r w:rsidR="00FF71A9" w:rsidRPr="00FD1023">
        <w:rPr>
          <w:lang w:val="en-US"/>
        </w:rPr>
        <w:t>6</w:t>
      </w:r>
      <w:r w:rsidR="00FF71A9" w:rsidRPr="00FD1023">
        <w:rPr>
          <w:lang w:val="vi-VN"/>
        </w:rPr>
        <w:t xml:space="preserve"> bộ, cơ quan</w:t>
      </w:r>
      <w:r w:rsidR="00FF71A9" w:rsidRPr="00FD1023">
        <w:rPr>
          <w:rStyle w:val="FootnoteReference"/>
          <w:b/>
          <w:lang w:val="vi-VN"/>
        </w:rPr>
        <w:footnoteReference w:id="34"/>
      </w:r>
      <w:r w:rsidR="00FF71A9" w:rsidRPr="00FD1023">
        <w:rPr>
          <w:lang w:val="vi-VN"/>
        </w:rPr>
        <w:t xml:space="preserve"> </w:t>
      </w:r>
      <w:r w:rsidR="00FF71A9" w:rsidRPr="00FD1023">
        <w:t>chưa thực hiện phân cấp TTHC theo Quyết định số 1015/QĐ-TTg</w:t>
      </w:r>
      <w:r w:rsidR="00FF71A9" w:rsidRPr="00FD1023">
        <w:rPr>
          <w:lang w:val="vi-VN"/>
        </w:rPr>
        <w:t>, trong đó có nhiều phương án phân cấp đã quá thời hạn, nhiều phương án phân cấp thuộc thẩm quyền của Bộ trưởng chưa được các bộ chủ động thực thi</w:t>
      </w:r>
      <w:r w:rsidR="00FF71A9" w:rsidRPr="00FD1023">
        <w:rPr>
          <w:rStyle w:val="FootnoteReference"/>
          <w:b/>
          <w:lang w:val="vi-VN"/>
        </w:rPr>
        <w:footnoteReference w:id="35"/>
      </w:r>
      <w:r w:rsidR="008C5644" w:rsidRPr="00FD1023">
        <w:rPr>
          <w:lang w:val="en-US"/>
        </w:rPr>
        <w:t>.</w:t>
      </w:r>
    </w:p>
    <w:p w14:paraId="3A4FAE10" w14:textId="7B152796" w:rsidR="00FD1023" w:rsidRPr="00FD1023" w:rsidRDefault="009B007F" w:rsidP="006460B3">
      <w:pPr>
        <w:spacing w:after="100"/>
        <w:ind w:firstLine="709"/>
        <w:jc w:val="both"/>
        <w:rPr>
          <w:color w:val="000000" w:themeColor="text1"/>
        </w:rPr>
      </w:pPr>
      <w:r>
        <w:rPr>
          <w:color w:val="000000" w:themeColor="text1"/>
        </w:rPr>
        <w:t>(2)</w:t>
      </w:r>
      <w:r w:rsidR="00FD1023" w:rsidRPr="00FD1023">
        <w:rPr>
          <w:color w:val="000000" w:themeColor="text1"/>
        </w:rPr>
        <w:t xml:space="preserve"> Số lượng dịch vụ công trực tuyến cung cấp cho người dân, doanh nghiệp cao nhưng nhiều dịch vụ công chất lượng thấp, chỉ đơn thuần ch</w:t>
      </w:r>
      <w:r w:rsidR="00447085">
        <w:rPr>
          <w:color w:val="000000" w:themeColor="text1"/>
        </w:rPr>
        <w:t>u</w:t>
      </w:r>
      <w:r w:rsidR="00FD1023" w:rsidRPr="00FD1023">
        <w:rPr>
          <w:color w:val="000000" w:themeColor="text1"/>
        </w:rPr>
        <w:t xml:space="preserve">yển từ môi trường giấy sang môi trường điện tử, chưa quan tâm tái cấu trúc quy trình, trải nghiệm người dùng nên chưa thực sự thuận lợi, đơn giản hơn thực hiện trực tiếp hoặc qua bưu chính. </w:t>
      </w:r>
    </w:p>
    <w:p w14:paraId="1DD581A4" w14:textId="74FC1C4E" w:rsidR="00FD1023" w:rsidRPr="00FD1023" w:rsidRDefault="009B007F" w:rsidP="006460B3">
      <w:pPr>
        <w:spacing w:after="100"/>
        <w:ind w:firstLine="709"/>
        <w:jc w:val="both"/>
        <w:rPr>
          <w:color w:val="000000" w:themeColor="text1"/>
        </w:rPr>
      </w:pPr>
      <w:r>
        <w:rPr>
          <w:color w:val="000000" w:themeColor="text1"/>
        </w:rPr>
        <w:lastRenderedPageBreak/>
        <w:t>(3)</w:t>
      </w:r>
      <w:r w:rsidR="00FD1023" w:rsidRPr="00FD1023">
        <w:rPr>
          <w:color w:val="000000" w:themeColor="text1"/>
        </w:rPr>
        <w:t xml:space="preserve"> Việc số hóa làm giàu làm sạch dữ liệu tại một số bộ, ngành, địa phương còn chậm, chưa có lộ trình kết hoạch và phương thức thực hiện rõ ràng, đúng quy định. Thậm chí, một số cơ quan đơn vị chủ yếu số hóa mới chỉ dừng ở việc sao chụp, chuyển từ bản giấy sang bản điện tử nên không đảm bảo giá trị pháp lý, không thể tái sử dụng mà còn lãng phí nguồn lực, tốn kém tài nguyên lưu trữ. Việc kết nối chia sẻ, tái sử dụng kết quả số hóa còn thấp nhất là đối với các bộ, ngành.</w:t>
      </w:r>
    </w:p>
    <w:p w14:paraId="22DB44A6" w14:textId="7B82CC42" w:rsidR="00FD1023" w:rsidRPr="00FD1023" w:rsidRDefault="009B007F" w:rsidP="006460B3">
      <w:pPr>
        <w:spacing w:after="100"/>
        <w:ind w:firstLine="709"/>
        <w:jc w:val="both"/>
        <w:rPr>
          <w:color w:val="000000" w:themeColor="text1"/>
        </w:rPr>
      </w:pPr>
      <w:r>
        <w:rPr>
          <w:color w:val="000000" w:themeColor="text1"/>
        </w:rPr>
        <w:t>(4)</w:t>
      </w:r>
      <w:r w:rsidR="00FD1023" w:rsidRPr="00FD1023">
        <w:rPr>
          <w:color w:val="000000" w:themeColor="text1"/>
        </w:rPr>
        <w:t xml:space="preserve"> Chất lượng giải quyết TTHC đã có sự cải thiện so với năm 2022 tuy nhiên, tỷ lệ giải quyết hồ sơ đúng hoặc s</w:t>
      </w:r>
      <w:r w:rsidR="00447085">
        <w:rPr>
          <w:color w:val="000000" w:themeColor="text1"/>
        </w:rPr>
        <w:t>ớ</w:t>
      </w:r>
      <w:r w:rsidR="00FD1023" w:rsidRPr="00FD1023">
        <w:rPr>
          <w:color w:val="000000" w:themeColor="text1"/>
        </w:rPr>
        <w:t>m hạn ở một số bộ ngành địa phương vẫn còn thấp, nhất là các bộ, ngành.</w:t>
      </w:r>
    </w:p>
    <w:p w14:paraId="1B3CF284" w14:textId="5506B9BC" w:rsidR="00FF71A9" w:rsidRPr="00FD1023" w:rsidRDefault="009B007F" w:rsidP="006460B3">
      <w:pPr>
        <w:shd w:val="clear" w:color="auto" w:fill="FFFFFF"/>
        <w:spacing w:after="100"/>
        <w:ind w:firstLine="720"/>
        <w:jc w:val="both"/>
        <w:rPr>
          <w:i/>
        </w:rPr>
      </w:pPr>
      <w:r>
        <w:t>(5)</w:t>
      </w:r>
      <w:r w:rsidR="00FF71A9" w:rsidRPr="00FD1023">
        <w:t xml:space="preserve"> Việc xem xét, xử lý khó khăn, vướng mắc trong thực hiện quy định, TTHC cho người dân, doanh nghiệp tại một số </w:t>
      </w:r>
      <w:r w:rsidR="00FF71A9" w:rsidRPr="00FD1023">
        <w:rPr>
          <w:bCs/>
          <w:iCs/>
          <w:lang w:val="en-US"/>
        </w:rPr>
        <w:t xml:space="preserve">bộ, địa phương </w:t>
      </w:r>
      <w:r w:rsidR="00FF71A9" w:rsidRPr="00FD1023">
        <w:t>chưa kịp thời.</w:t>
      </w:r>
    </w:p>
    <w:p w14:paraId="78E872DC" w14:textId="7493D992" w:rsidR="0036051C" w:rsidRPr="00FD1023" w:rsidRDefault="00C14B9F" w:rsidP="006460B3">
      <w:pPr>
        <w:spacing w:after="100"/>
        <w:ind w:firstLine="720"/>
        <w:jc w:val="both"/>
        <w:rPr>
          <w:spacing w:val="-4"/>
        </w:rPr>
      </w:pPr>
      <w:r w:rsidRPr="00FD1023">
        <w:rPr>
          <w:b/>
        </w:rPr>
        <w:t>3</w:t>
      </w:r>
      <w:r w:rsidR="008D035B" w:rsidRPr="00FD1023">
        <w:rPr>
          <w:b/>
        </w:rPr>
        <w:t>.</w:t>
      </w:r>
      <w:r w:rsidR="0036051C" w:rsidRPr="00FD1023">
        <w:rPr>
          <w:b/>
        </w:rPr>
        <w:t xml:space="preserve"> Nguyên nhân của tồn tại</w:t>
      </w:r>
      <w:r w:rsidRPr="00FD1023">
        <w:rPr>
          <w:b/>
        </w:rPr>
        <w:t>,</w:t>
      </w:r>
      <w:r w:rsidR="0036051C" w:rsidRPr="00FD1023">
        <w:rPr>
          <w:b/>
        </w:rPr>
        <w:t xml:space="preserve"> hạn chế</w:t>
      </w:r>
    </w:p>
    <w:p w14:paraId="1891E710" w14:textId="213FE50C" w:rsidR="00115C88" w:rsidRDefault="00EF2C2F" w:rsidP="006460B3">
      <w:pPr>
        <w:spacing w:after="100"/>
        <w:ind w:firstLine="720"/>
        <w:jc w:val="both"/>
        <w:rPr>
          <w:spacing w:val="-2"/>
        </w:rPr>
      </w:pPr>
      <w:r w:rsidRPr="00FD1023">
        <w:rPr>
          <w:spacing w:val="-2"/>
        </w:rPr>
        <w:t xml:space="preserve">Nguyên nhân chủ yếu của những tồn tại, hạn chế nêu trên là do </w:t>
      </w:r>
      <w:r w:rsidRPr="00FD1023">
        <w:rPr>
          <w:spacing w:val="-2"/>
          <w:lang w:val="en-US"/>
        </w:rPr>
        <w:t xml:space="preserve">công tác cải cách TTHC tại một số bộ, ngành, địa phương vẫn chưa được quan tâm đúng mức. </w:t>
      </w:r>
      <w:r w:rsidRPr="00FD1023">
        <w:rPr>
          <w:spacing w:val="-2"/>
        </w:rPr>
        <w:t>Một số bộ phận, cán bộ, công chức, viên chức chưa phát huy hết vai trò, trách nhiệm trong thực thi công vụ. Công tác phối hợp giữa các cơ quan, đơn vị còn thiếu chủ động, chưa chặt chẽ, kịp thời. Hạ tầng công nghệ thông tin còn yếu, thiếu đồng bộ, nhiều hệ thống đã được đầu tư từ lâu, chưa được nâng cấp, phát triển;...</w:t>
      </w:r>
    </w:p>
    <w:p w14:paraId="34DA6DFC" w14:textId="77777777" w:rsidR="001528F3" w:rsidRPr="007D080B" w:rsidRDefault="001528F3" w:rsidP="006460B3">
      <w:pPr>
        <w:tabs>
          <w:tab w:val="left" w:pos="993"/>
        </w:tabs>
        <w:spacing w:after="100"/>
        <w:ind w:left="710"/>
        <w:jc w:val="both"/>
        <w:rPr>
          <w:rStyle w:val="dieuCharChar"/>
          <w:color w:val="000000" w:themeColor="text1"/>
          <w:sz w:val="28"/>
          <w:szCs w:val="28"/>
        </w:rPr>
      </w:pPr>
      <w:r w:rsidRPr="007D080B">
        <w:rPr>
          <w:rStyle w:val="dieuCharChar"/>
          <w:color w:val="000000" w:themeColor="text1"/>
          <w:sz w:val="28"/>
          <w:szCs w:val="28"/>
        </w:rPr>
        <w:t>4. Bài học kinh nghiệm</w:t>
      </w:r>
    </w:p>
    <w:p w14:paraId="39B5417F" w14:textId="77777777" w:rsidR="005C6C98" w:rsidRPr="007D080B" w:rsidRDefault="001528F3" w:rsidP="006460B3">
      <w:pPr>
        <w:pStyle w:val="ListParagraph"/>
        <w:spacing w:after="100"/>
        <w:ind w:left="0" w:firstLine="709"/>
        <w:contextualSpacing w:val="0"/>
        <w:jc w:val="both"/>
        <w:rPr>
          <w:rStyle w:val="dieuCharChar"/>
          <w:b w:val="0"/>
          <w:color w:val="000000" w:themeColor="text1"/>
          <w:sz w:val="28"/>
          <w:szCs w:val="28"/>
        </w:rPr>
      </w:pPr>
      <w:r w:rsidRPr="007D080B">
        <w:rPr>
          <w:rStyle w:val="dieuCharChar"/>
          <w:b w:val="0"/>
          <w:color w:val="000000" w:themeColor="text1"/>
          <w:sz w:val="28"/>
          <w:szCs w:val="28"/>
        </w:rPr>
        <w:t>Nhìn lại một năm triển khai công tác cải cách TTHC, từ những thuận lợi, khó khăn có thể rút ra những bài học kinh nghiệm sau:</w:t>
      </w:r>
    </w:p>
    <w:p w14:paraId="010CCD3B" w14:textId="77777777" w:rsidR="005C6C98" w:rsidRPr="007D080B" w:rsidRDefault="005C6C98" w:rsidP="006460B3">
      <w:pPr>
        <w:pStyle w:val="ListParagraph"/>
        <w:spacing w:after="100"/>
        <w:ind w:left="0" w:firstLine="709"/>
        <w:contextualSpacing w:val="0"/>
        <w:jc w:val="both"/>
        <w:rPr>
          <w:color w:val="000000" w:themeColor="text1"/>
          <w:spacing w:val="-2"/>
        </w:rPr>
      </w:pPr>
      <w:r w:rsidRPr="007D080B">
        <w:rPr>
          <w:color w:val="000000" w:themeColor="text1"/>
          <w:spacing w:val="-2"/>
        </w:rPr>
        <w:t xml:space="preserve">(1) </w:t>
      </w:r>
      <w:r w:rsidR="001528F3" w:rsidRPr="007D080B">
        <w:rPr>
          <w:color w:val="000000" w:themeColor="text1"/>
          <w:spacing w:val="-2"/>
        </w:rPr>
        <w:t>Thứ nhất, phải có sự quyết tâm chính trị cao, nỗ lực lớn, hành động quyết liệt của người đứng đầu tại các bộ, ngành, địa phương trong thực hiện TTHC.</w:t>
      </w:r>
    </w:p>
    <w:p w14:paraId="05C92A2F" w14:textId="77777777" w:rsidR="005C6C98" w:rsidRPr="007D080B" w:rsidRDefault="005C6C98" w:rsidP="006460B3">
      <w:pPr>
        <w:pStyle w:val="ListParagraph"/>
        <w:spacing w:after="100"/>
        <w:ind w:left="0" w:firstLine="709"/>
        <w:contextualSpacing w:val="0"/>
        <w:jc w:val="both"/>
        <w:rPr>
          <w:color w:val="000000" w:themeColor="text1"/>
        </w:rPr>
      </w:pPr>
      <w:r w:rsidRPr="007D080B">
        <w:rPr>
          <w:color w:val="000000" w:themeColor="text1"/>
        </w:rPr>
        <w:t xml:space="preserve">(2) </w:t>
      </w:r>
      <w:r w:rsidR="001528F3" w:rsidRPr="007D080B">
        <w:rPr>
          <w:color w:val="000000" w:themeColor="text1"/>
        </w:rPr>
        <w:t>Thứ hai, phải lấy người dân doanh nghiệp là trung tâm, lấy chất lượng phục vụ mức độ hài lòng là thước đo kết quả thực hiện của các cơ quan hành chính nhà nước các cấp; phát huy nhân tố con người, cải cách TTHC có vai trò dẫn dắt, công nghệ thúc đẩy, hỗ trợ trong cải cách TTHC.</w:t>
      </w:r>
    </w:p>
    <w:p w14:paraId="589CBD7E" w14:textId="296802C8" w:rsidR="005C6C98" w:rsidRPr="007D080B" w:rsidRDefault="005C6C98" w:rsidP="006460B3">
      <w:pPr>
        <w:pStyle w:val="ListParagraph"/>
        <w:spacing w:after="100"/>
        <w:ind w:left="0" w:firstLine="709"/>
        <w:contextualSpacing w:val="0"/>
        <w:jc w:val="both"/>
        <w:rPr>
          <w:color w:val="000000" w:themeColor="text1"/>
        </w:rPr>
      </w:pPr>
      <w:r w:rsidRPr="007D080B">
        <w:rPr>
          <w:color w:val="000000" w:themeColor="text1"/>
        </w:rPr>
        <w:t xml:space="preserve">(3) </w:t>
      </w:r>
      <w:r w:rsidR="001528F3" w:rsidRPr="007D080B">
        <w:rPr>
          <w:color w:val="000000" w:themeColor="text1"/>
        </w:rPr>
        <w:t>Thứ ba, phải xác định và tập trung chỉ đạo tháo gỡ các điểm nghẽn về thể chế, hạ tầng công nghệ, số hóa dữ liệu, dịch vụ công và bảo đảm an toàn, an ninh thông tin cho Cổng Dịch vụ công quốc gia, các hệ thống thông tin giải quyết TTHC và các cơ s</w:t>
      </w:r>
      <w:r w:rsidR="004F20D6">
        <w:rPr>
          <w:color w:val="000000" w:themeColor="text1"/>
        </w:rPr>
        <w:t>ở</w:t>
      </w:r>
      <w:r w:rsidR="001528F3" w:rsidRPr="007D080B">
        <w:rPr>
          <w:color w:val="000000" w:themeColor="text1"/>
        </w:rPr>
        <w:t xml:space="preserve"> dữ liệu quốc gia, chuyên ngành.</w:t>
      </w:r>
    </w:p>
    <w:p w14:paraId="67ACD38D" w14:textId="77777777" w:rsidR="005C6C98" w:rsidRPr="007D080B" w:rsidRDefault="005C6C98" w:rsidP="006460B3">
      <w:pPr>
        <w:pStyle w:val="ListParagraph"/>
        <w:spacing w:after="100"/>
        <w:ind w:left="0" w:firstLine="709"/>
        <w:contextualSpacing w:val="0"/>
        <w:jc w:val="both"/>
        <w:rPr>
          <w:color w:val="000000" w:themeColor="text1"/>
        </w:rPr>
      </w:pPr>
      <w:r w:rsidRPr="007D080B">
        <w:rPr>
          <w:color w:val="000000" w:themeColor="text1"/>
        </w:rPr>
        <w:t xml:space="preserve">(4) </w:t>
      </w:r>
      <w:r w:rsidR="001528F3" w:rsidRPr="007D080B">
        <w:rPr>
          <w:color w:val="000000" w:themeColor="text1"/>
        </w:rPr>
        <w:t>Thứ tư, tăng cường đổi mới công tác chỉ đạo điều hành, đánh giá chất lượng phục vụ người dân, doanh nghiệp trong thực hiện TTHC, cung cấp dịch vụ công dựa trên dữ liệu theo thời gian thực.</w:t>
      </w:r>
    </w:p>
    <w:p w14:paraId="2C11E994" w14:textId="77777777" w:rsidR="005C6C98" w:rsidRPr="007D080B" w:rsidRDefault="005C6C98" w:rsidP="006460B3">
      <w:pPr>
        <w:pStyle w:val="ListParagraph"/>
        <w:spacing w:after="100"/>
        <w:ind w:left="0" w:firstLine="709"/>
        <w:contextualSpacing w:val="0"/>
        <w:jc w:val="both"/>
        <w:rPr>
          <w:color w:val="000000" w:themeColor="text1"/>
        </w:rPr>
      </w:pPr>
      <w:r w:rsidRPr="007D080B">
        <w:rPr>
          <w:color w:val="000000" w:themeColor="text1"/>
        </w:rPr>
        <w:t xml:space="preserve">(5) </w:t>
      </w:r>
      <w:r w:rsidR="001528F3" w:rsidRPr="007D080B">
        <w:rPr>
          <w:color w:val="000000" w:themeColor="text1"/>
        </w:rPr>
        <w:t xml:space="preserve">Thứ năm, bảo đảm các nguồn lực trong thực hiện đồng thời tăng cường phối hợp, đồng bộ, chặt chẽ xuyên suốt từ trung ương đến địa phương, phát huy sức mạnh của cả hệ thống chính trị. </w:t>
      </w:r>
    </w:p>
    <w:p w14:paraId="1403ADF8" w14:textId="27E1CC82" w:rsidR="001528F3" w:rsidRPr="007D080B" w:rsidRDefault="005C6C98" w:rsidP="006460B3">
      <w:pPr>
        <w:pStyle w:val="ListParagraph"/>
        <w:spacing w:after="100"/>
        <w:ind w:left="0" w:firstLine="709"/>
        <w:contextualSpacing w:val="0"/>
        <w:jc w:val="both"/>
        <w:rPr>
          <w:rStyle w:val="dieuCharChar"/>
          <w:b w:val="0"/>
          <w:color w:val="000000" w:themeColor="text1"/>
          <w:sz w:val="28"/>
          <w:szCs w:val="28"/>
        </w:rPr>
      </w:pPr>
      <w:r w:rsidRPr="007D080B">
        <w:rPr>
          <w:color w:val="000000" w:themeColor="text1"/>
        </w:rPr>
        <w:t xml:space="preserve">(6) </w:t>
      </w:r>
      <w:r w:rsidR="001528F3" w:rsidRPr="007D080B">
        <w:rPr>
          <w:color w:val="000000" w:themeColor="text1"/>
        </w:rPr>
        <w:t>Thứ sáu, phát huy vai trò dẫn dắt, thúc đẩy cải cách TTHC của Tổ công tác và Hội đồng tư vấn cải cách TTHC của Thủ tướng Chính phủ trong chỉ đạo triển khai công tác cải cách TTHC; bảo đảm gắn kết chặt chẽ giữa cải cách TTHCvới chuyển đổi số quốc gia.</w:t>
      </w:r>
    </w:p>
    <w:p w14:paraId="64E554EA" w14:textId="06A9439B" w:rsidR="00EF2C2F" w:rsidRPr="00FD1023" w:rsidRDefault="008D035B" w:rsidP="00E816E1">
      <w:pPr>
        <w:spacing w:after="100"/>
        <w:ind w:firstLine="720"/>
        <w:jc w:val="both"/>
        <w:rPr>
          <w:rStyle w:val="dieuCharChar"/>
          <w:color w:val="auto"/>
          <w:sz w:val="28"/>
          <w:szCs w:val="28"/>
        </w:rPr>
      </w:pPr>
      <w:r w:rsidRPr="00FD1023">
        <w:rPr>
          <w:rStyle w:val="dieuCharChar"/>
          <w:color w:val="auto"/>
          <w:sz w:val="28"/>
          <w:szCs w:val="28"/>
        </w:rPr>
        <w:lastRenderedPageBreak/>
        <w:t>I</w:t>
      </w:r>
      <w:r w:rsidR="005C57CE" w:rsidRPr="00FD1023">
        <w:rPr>
          <w:rStyle w:val="dieuCharChar"/>
          <w:color w:val="auto"/>
          <w:sz w:val="28"/>
          <w:szCs w:val="28"/>
        </w:rPr>
        <w:t>I</w:t>
      </w:r>
      <w:r w:rsidR="00EF2C2F" w:rsidRPr="00FD1023">
        <w:rPr>
          <w:rStyle w:val="dieuCharChar"/>
          <w:color w:val="auto"/>
          <w:sz w:val="28"/>
          <w:szCs w:val="28"/>
        </w:rPr>
        <w:t>I. NHIỆM VỤ TRỌNG TÂM NĂM 2024</w:t>
      </w:r>
    </w:p>
    <w:p w14:paraId="4CF78566" w14:textId="52D1DADF" w:rsidR="00EF2C2F" w:rsidRPr="00FD1023" w:rsidRDefault="00EF2C2F" w:rsidP="00E816E1">
      <w:pPr>
        <w:spacing w:after="100"/>
        <w:ind w:firstLine="720"/>
        <w:jc w:val="both"/>
      </w:pPr>
      <w:r w:rsidRPr="00FD1023">
        <w:t xml:space="preserve">Để tiếp tục triển khai hiệu quả công tác cải cách TTHC, đề nghị các bộ, ngành, địa phương </w:t>
      </w:r>
      <w:r w:rsidRPr="00FD1023">
        <w:rPr>
          <w:bCs/>
          <w:noProof/>
        </w:rPr>
        <w:t xml:space="preserve">quán triệt, thực hiện nghiêm túc, đầy đủ, kịp thời các quy định, chỉ đạo của </w:t>
      </w:r>
      <w:r w:rsidRPr="00FD1023">
        <w:t xml:space="preserve">Chính phủ, Thủ tướng Chính phủ, trong đó tập trung triển khai các nhiệm vụ trọng tâm trong năm 2024 </w:t>
      </w:r>
      <w:r w:rsidR="0036051C" w:rsidRPr="00FD1023">
        <w:t xml:space="preserve">như </w:t>
      </w:r>
      <w:r w:rsidRPr="00FD1023">
        <w:t xml:space="preserve">sau:  </w:t>
      </w:r>
    </w:p>
    <w:p w14:paraId="5CBEAFEB" w14:textId="5D9998ED" w:rsidR="008C5644" w:rsidRPr="00FD1023" w:rsidRDefault="008C5644" w:rsidP="00E816E1">
      <w:pPr>
        <w:spacing w:after="100"/>
        <w:ind w:firstLine="709"/>
        <w:jc w:val="both"/>
        <w:rPr>
          <w:bCs/>
        </w:rPr>
      </w:pPr>
      <w:r w:rsidRPr="00FD1023">
        <w:rPr>
          <w:b/>
        </w:rPr>
        <w:t>1.</w:t>
      </w:r>
      <w:r w:rsidRPr="00FD1023">
        <w:t xml:space="preserve"> Đẩy mạnh triển khai công tác cải cách TTHC theo các văn bản, chương trình, kế hoạch, đề án đã được Chính phủ, Thủ tướng Chính phủ ban hành, bảo đảm thực hiện có kết quả, thực chất, hoàn thành các mục tiêu, nhiệm vụ và giải pháp đề ra trong năm 2024. Trong đó, tập trung</w:t>
      </w:r>
      <w:r w:rsidRPr="00FD1023">
        <w:rPr>
          <w:bCs/>
        </w:rPr>
        <w:t xml:space="preserve"> thực hiện tốt việc</w:t>
      </w:r>
      <w:r w:rsidR="007311CF" w:rsidRPr="00FD1023">
        <w:rPr>
          <w:bCs/>
        </w:rPr>
        <w:t>: (i)</w:t>
      </w:r>
      <w:r w:rsidRPr="00FD1023">
        <w:rPr>
          <w:bCs/>
        </w:rPr>
        <w:t xml:space="preserve"> </w:t>
      </w:r>
      <w:r w:rsidR="007311CF" w:rsidRPr="00FD1023">
        <w:rPr>
          <w:bCs/>
        </w:rPr>
        <w:t>Đ</w:t>
      </w:r>
      <w:r w:rsidRPr="00FD1023">
        <w:rPr>
          <w:bCs/>
        </w:rPr>
        <w:t>ánh giá tác động TTHC tại đề nghị xây dựng, dự án, dự thảo VBQPPL, bảo đảm các TTHC được quy định đúng thẩm quyền, cần thiết, hợp lý, thực hiện trên môi trường điện tử và với chi phí tuân thủ thấp nhất.</w:t>
      </w:r>
      <w:r w:rsidR="007311CF" w:rsidRPr="00FD1023">
        <w:t xml:space="preserve"> Định kỳ, hàng tháng thống kê đầy đủ những TTHC được ban hành mới, sửa đổi, bổ sung hoặc bãi bỏ để kiểm soát chặt chẽ việc ban hành và thực hiện TTHC; (ii) Công bố, công khai kịp thời, đầy đủ, chính xác TTHC trên Cơ sở dữ liệu quốc gia về TTHC, nhất là đối với TTHC nội bộ giữa các cơ quan hành chính nhà nước, để đội ngũ cán bộ, công chức và người dân, doanh nghiệp biết, thực hiện và giám sát việc thực hiện. </w:t>
      </w:r>
    </w:p>
    <w:p w14:paraId="1A6FBAC4" w14:textId="77777777" w:rsidR="008C5644" w:rsidRPr="00FD1023" w:rsidRDefault="008C5644" w:rsidP="00E816E1">
      <w:pPr>
        <w:spacing w:after="100"/>
        <w:ind w:firstLine="709"/>
        <w:jc w:val="both"/>
      </w:pPr>
      <w:r w:rsidRPr="00FD1023">
        <w:rPr>
          <w:b/>
        </w:rPr>
        <w:t>2.</w:t>
      </w:r>
      <w:r w:rsidRPr="00FD1023">
        <w:t xml:space="preserve"> Tiếp tục r</w:t>
      </w:r>
      <w:r w:rsidRPr="00FD1023">
        <w:rPr>
          <w:lang w:val="vi-VN"/>
        </w:rPr>
        <w:t xml:space="preserve">à soát, </w:t>
      </w:r>
      <w:r w:rsidRPr="00FD1023">
        <w:rPr>
          <w:lang w:val="en-US"/>
        </w:rPr>
        <w:t>đề xuất</w:t>
      </w:r>
      <w:r w:rsidRPr="00FD1023">
        <w:rPr>
          <w:lang w:val="vi-VN"/>
        </w:rPr>
        <w:t xml:space="preserve"> phương án tổng thể cắt giảm, đơn giản hóa các</w:t>
      </w:r>
      <w:r w:rsidRPr="00FD1023">
        <w:rPr>
          <w:lang w:val="en-US"/>
        </w:rPr>
        <w:t xml:space="preserve"> TTHC, </w:t>
      </w:r>
      <w:r w:rsidRPr="00FD1023">
        <w:t xml:space="preserve">QĐKD </w:t>
      </w:r>
      <w:r w:rsidRPr="00FD1023">
        <w:rPr>
          <w:lang w:val="vi-VN"/>
        </w:rPr>
        <w:t>đang là rào cản, gây khó khăn cho người dân và doanh nghiệp</w:t>
      </w:r>
      <w:r w:rsidRPr="00FD1023">
        <w:rPr>
          <w:lang w:val="en-US"/>
        </w:rPr>
        <w:t>.</w:t>
      </w:r>
      <w:r w:rsidRPr="00FD1023">
        <w:t xml:space="preserve"> Trong đó, tập trung cắt giảm, đơn giản hóa giấy phép liên quan đến hoạt động kinh doanh; các nhóm TTHC nội bộ trọng tâm ưu tiên theo Quyết định số 1085/QĐ-TTg ngày 15 tháng 9 năm 2022 của Thủ tướng Chính phủ</w:t>
      </w:r>
      <w:r w:rsidRPr="00FD1023">
        <w:rPr>
          <w:lang w:val="vi-VN"/>
        </w:rPr>
        <w:t xml:space="preserve"> và Công văn số 100/TCTCCTTHC ngày</w:t>
      </w:r>
      <w:r w:rsidRPr="00FD1023">
        <w:rPr>
          <w:lang w:val="en-US"/>
        </w:rPr>
        <w:t xml:space="preserve"> 14 tháng 11 năm 2023 </w:t>
      </w:r>
      <w:r w:rsidRPr="00FD1023">
        <w:rPr>
          <w:lang w:val="vi-VN"/>
        </w:rPr>
        <w:t>của Tổ công tác cải cách TTH</w:t>
      </w:r>
      <w:r w:rsidRPr="00FD1023">
        <w:rPr>
          <w:lang w:val="en-US"/>
        </w:rPr>
        <w:t>C</w:t>
      </w:r>
      <w:r w:rsidRPr="00FD1023">
        <w:rPr>
          <w:lang w:val="vi-VN"/>
        </w:rPr>
        <w:t xml:space="preserve"> của Thủ tướng Chính phủ</w:t>
      </w:r>
      <w:r w:rsidRPr="00FD1023">
        <w:rPr>
          <w:lang w:val="en-US"/>
        </w:rPr>
        <w:t>;</w:t>
      </w:r>
      <w:r w:rsidRPr="00FD1023">
        <w:t>... Đẩy nhanh tiến độ sửa đổi, bổ sung các VBQPPL để thực thi phương án cắt giảm, đơn giản hóa TTHC, QĐKD, giấy tờ công dân, phân cấp trong giải quyết TTHC đã được Chính phủ, Thủ tướng Chính phủ phê duyệt.</w:t>
      </w:r>
    </w:p>
    <w:p w14:paraId="74301A00" w14:textId="3810D048" w:rsidR="00EF2C2F" w:rsidRPr="00FD1023" w:rsidRDefault="008C5644" w:rsidP="00E816E1">
      <w:pPr>
        <w:shd w:val="clear" w:color="auto" w:fill="FFFFFF"/>
        <w:spacing w:after="100"/>
        <w:ind w:firstLine="709"/>
        <w:jc w:val="both"/>
        <w:rPr>
          <w:spacing w:val="-4"/>
        </w:rPr>
      </w:pPr>
      <w:r w:rsidRPr="00FD1023">
        <w:rPr>
          <w:b/>
        </w:rPr>
        <w:t>3.</w:t>
      </w:r>
      <w:r w:rsidRPr="00FD1023">
        <w:t xml:space="preserve"> </w:t>
      </w:r>
      <w:r w:rsidR="00EF2C2F" w:rsidRPr="00FD1023">
        <w:rPr>
          <w:spacing w:val="-4"/>
        </w:rPr>
        <w:t xml:space="preserve">Tiếp tục triển khai </w:t>
      </w:r>
      <w:r w:rsidR="00EF2C2F" w:rsidRPr="00FD1023">
        <w:rPr>
          <w:spacing w:val="-4"/>
          <w:lang w:val="vi-VN"/>
        </w:rPr>
        <w:t xml:space="preserve">thực hiện </w:t>
      </w:r>
      <w:r w:rsidR="00EF2C2F" w:rsidRPr="00FD1023">
        <w:rPr>
          <w:spacing w:val="-4"/>
        </w:rPr>
        <w:t xml:space="preserve">có hiệu quả việc đổi mới cơ chế Một cửa, Một cửa liên thông trong giải quyết TTHC; </w:t>
      </w:r>
      <w:r w:rsidR="00EF2C2F" w:rsidRPr="00FD1023">
        <w:rPr>
          <w:bCs/>
          <w:spacing w:val="-4"/>
        </w:rPr>
        <w:t>tập trung nguồn lực đẩy nhanh số hóa hồ sơ, kết quả giải quyết TTHC</w:t>
      </w:r>
      <w:r w:rsidR="00EF2C2F" w:rsidRPr="00FD1023">
        <w:rPr>
          <w:spacing w:val="-4"/>
        </w:rPr>
        <w:t xml:space="preserve">, gắn việc số hóa với việc thực hiện nhiệm vụ của cán bộ, công chức, viên chức trong quá trình tiếp nhận, giải quyết TTHC; đẩy mạnh tái sử dụng dữ liệu đã được số hóa giữa các bộ, ngành, địa phương thông qua kết nối, chia sẻ dữ liệu với Kho quản lý dữ liệu cá nhân, tổ chức trên Cổng DVCQG; thực hiện việc tích hợp, chia sẻ, đồng bộ dữ liệu giữa các cơ sở dữ liệu quốc gia, chuyên ngành, Hệ thống tin giải quyết TTHC, cung cấp dịch vụ công tập trung do bộ, ngành quản lý với Cổng DVCQG, Hệ thống thông tin giải quyết TTHC cấp bộ, cấp tỉnh. </w:t>
      </w:r>
    </w:p>
    <w:p w14:paraId="74626DEE" w14:textId="11E72485" w:rsidR="00EF2C2F" w:rsidRPr="00FD1023" w:rsidRDefault="007311CF" w:rsidP="00E816E1">
      <w:pPr>
        <w:spacing w:after="100"/>
        <w:ind w:firstLine="720"/>
        <w:jc w:val="both"/>
      </w:pPr>
      <w:r w:rsidRPr="00FD1023">
        <w:rPr>
          <w:b/>
        </w:rPr>
        <w:t>4</w:t>
      </w:r>
      <w:r w:rsidR="00EF2C2F" w:rsidRPr="00FD1023">
        <w:rPr>
          <w:b/>
        </w:rPr>
        <w:t>.</w:t>
      </w:r>
      <w:r w:rsidR="00EF2C2F" w:rsidRPr="00FD1023">
        <w:t xml:space="preserve"> Khẩn trương rà soát, đánh giá, cấu trúc lại quy trình đối với các dịch vụ công trực tuyến đang được tích hợp, cung cấp trên Cổng DVCQG, bảo đảm nguyên tắc lấy người dùng làm trung tâm, đồng thời ưu tiên xây dựng, tích hợp, cung cấp các nhóm dịch vụ công trực tuyến liên thông cung cấp ở mức độ toàn trình đáp ứng yêu cầu của người dân, doanh nghiệp và mục tiêu, yêu cầu của Chính phủ, Thủ tướng Chính phủ</w:t>
      </w:r>
      <w:r w:rsidR="00EF2C2F" w:rsidRPr="00FD1023">
        <w:rPr>
          <w:spacing w:val="-4"/>
        </w:rPr>
        <w:t>.</w:t>
      </w:r>
    </w:p>
    <w:p w14:paraId="7F202E15" w14:textId="617BD611" w:rsidR="00EF2C2F" w:rsidRPr="00FD1023" w:rsidRDefault="007311CF" w:rsidP="00E816E1">
      <w:pPr>
        <w:shd w:val="clear" w:color="auto" w:fill="FFFFFF"/>
        <w:spacing w:after="100"/>
        <w:ind w:firstLine="709"/>
        <w:jc w:val="both"/>
        <w:rPr>
          <w:bCs/>
          <w:noProof/>
        </w:rPr>
      </w:pPr>
      <w:r w:rsidRPr="00FD1023">
        <w:rPr>
          <w:b/>
          <w:spacing w:val="-6"/>
        </w:rPr>
        <w:t>5</w:t>
      </w:r>
      <w:r w:rsidR="00EF2C2F" w:rsidRPr="00FD1023">
        <w:rPr>
          <w:b/>
          <w:spacing w:val="-6"/>
        </w:rPr>
        <w:t>.</w:t>
      </w:r>
      <w:r w:rsidR="00EF2C2F" w:rsidRPr="00FD1023">
        <w:rPr>
          <w:spacing w:val="-6"/>
        </w:rPr>
        <w:t xml:space="preserve"> </w:t>
      </w:r>
      <w:r w:rsidR="00EF2C2F" w:rsidRPr="00FD1023">
        <w:t xml:space="preserve">Tổ chức thực hiện nghiêm việc tiếp nhận, xử lý, tháo gỡ các khó khăn, vướng mắc về quy định, TTHC; tổ chức </w:t>
      </w:r>
      <w:r w:rsidR="00EF2C2F" w:rsidRPr="00FD1023">
        <w:rPr>
          <w:bCs/>
          <w:noProof/>
          <w:lang w:val="vi-VN"/>
        </w:rPr>
        <w:t xml:space="preserve">kiểm tra, xác minh, làm rõ </w:t>
      </w:r>
      <w:r w:rsidR="00EF2C2F" w:rsidRPr="00FD1023">
        <w:rPr>
          <w:bCs/>
          <w:noProof/>
        </w:rPr>
        <w:t xml:space="preserve">hành vi nhũng </w:t>
      </w:r>
      <w:r w:rsidR="00EF2C2F" w:rsidRPr="00FD1023">
        <w:rPr>
          <w:bCs/>
          <w:noProof/>
        </w:rPr>
        <w:lastRenderedPageBreak/>
        <w:t xml:space="preserve">nhiễu, gây khó khăn trong giải quyết TTHC </w:t>
      </w:r>
      <w:r w:rsidR="00EF2C2F" w:rsidRPr="00FD1023">
        <w:rPr>
          <w:bCs/>
          <w:noProof/>
          <w:lang w:val="vi-VN"/>
        </w:rPr>
        <w:t>theo phản ánh của</w:t>
      </w:r>
      <w:r w:rsidR="00EF2C2F" w:rsidRPr="00FD1023">
        <w:rPr>
          <w:bCs/>
          <w:noProof/>
        </w:rPr>
        <w:t xml:space="preserve"> </w:t>
      </w:r>
      <w:r w:rsidR="00EF2C2F" w:rsidRPr="00FD1023">
        <w:t>các phương tiện thông tin đại chúng và của người dân, doanh  nghiệp qua các kênh thông tin khác nhau</w:t>
      </w:r>
      <w:r w:rsidR="00EF2C2F" w:rsidRPr="00FD1023">
        <w:rPr>
          <w:bCs/>
          <w:noProof/>
          <w:lang w:val="vi-VN"/>
        </w:rPr>
        <w:t xml:space="preserve">; xử lý nghiêm các tổ chức, cá nhân có liên quan theo đúng quy định của Đảng, pháp luật của </w:t>
      </w:r>
      <w:r w:rsidR="00EF2C2F" w:rsidRPr="00FD1023">
        <w:rPr>
          <w:bCs/>
          <w:noProof/>
        </w:rPr>
        <w:t>N</w:t>
      </w:r>
      <w:r w:rsidR="00EF2C2F" w:rsidRPr="00FD1023">
        <w:rPr>
          <w:bCs/>
          <w:noProof/>
          <w:lang w:val="vi-VN"/>
        </w:rPr>
        <w:t xml:space="preserve">hà nước; kịp thời chấn chỉnh việc giải quyết </w:t>
      </w:r>
      <w:r w:rsidR="00EF2C2F" w:rsidRPr="00FD1023">
        <w:rPr>
          <w:bCs/>
          <w:noProof/>
        </w:rPr>
        <w:t>TTHC thuộc thẩm quyền của bộ, cơ quan, địa phương.</w:t>
      </w:r>
    </w:p>
    <w:p w14:paraId="1094C7C1" w14:textId="5CBFDF91" w:rsidR="00EF2C2F" w:rsidRPr="00FD1023" w:rsidRDefault="007311CF" w:rsidP="00E816E1">
      <w:pPr>
        <w:spacing w:after="100"/>
        <w:ind w:firstLine="720"/>
        <w:jc w:val="both"/>
        <w:rPr>
          <w:rStyle w:val="dieuCharChar"/>
          <w:b w:val="0"/>
          <w:color w:val="auto"/>
          <w:sz w:val="28"/>
          <w:szCs w:val="28"/>
          <w:lang w:val="nl-NL"/>
        </w:rPr>
      </w:pPr>
      <w:r w:rsidRPr="00FD1023">
        <w:rPr>
          <w:b/>
          <w:noProof/>
        </w:rPr>
        <w:t>6</w:t>
      </w:r>
      <w:r w:rsidR="00EF2C2F" w:rsidRPr="00FD1023">
        <w:rPr>
          <w:b/>
          <w:noProof/>
        </w:rPr>
        <w:t>.</w:t>
      </w:r>
      <w:r w:rsidR="00EF2C2F" w:rsidRPr="00FD1023">
        <w:rPr>
          <w:noProof/>
        </w:rPr>
        <w:t xml:space="preserve"> </w:t>
      </w:r>
      <w:r w:rsidR="00EF2C2F" w:rsidRPr="00FD1023">
        <w:t xml:space="preserve">Tiếp tục triển khai công tác thanh tra, kiểm tra nhiệm vụ cải cách TTHC nhằm nâng cao đạo đức công vụ, tăng cường kỷ luật, kỷ cương hành chính, kịp thời xử lý, thay thế các trường hợp né tránh, đùn đẩy, sợ trách nhiệm và vi phạm pháp luật. </w:t>
      </w:r>
      <w:r w:rsidR="00EF2C2F" w:rsidRPr="00FD1023">
        <w:rPr>
          <w:noProof/>
        </w:rPr>
        <w:t>Định kỳ hàng tháng công khai kết quả đánh giá chất lượng phục vụ người dân, doanh nghiệp theo Quyết định số 766/QĐ-TTg ngày 23 tháng 6 năm 2022 của Thủ tướng Chính phủ trên Cổng DVCQG, Cổng Dịch vụ công cấp bộ, cấp tỉnh, Cổng thông tin điện tử của bộ, cơ quan, địa phương để tổ chức, cá nhân theo dõi, giám sát.</w:t>
      </w:r>
    </w:p>
    <w:p w14:paraId="36BFEEC9" w14:textId="56E05069" w:rsidR="00EF2C2F" w:rsidRPr="00FD1023" w:rsidRDefault="00AF5239" w:rsidP="00E816E1">
      <w:pPr>
        <w:tabs>
          <w:tab w:val="left" w:pos="993"/>
        </w:tabs>
        <w:spacing w:after="100"/>
        <w:ind w:firstLine="720"/>
        <w:jc w:val="both"/>
        <w:rPr>
          <w:shd w:val="clear" w:color="auto" w:fill="FFFFFF"/>
        </w:rPr>
      </w:pPr>
      <w:r w:rsidRPr="00FD1023">
        <w:rPr>
          <w:rStyle w:val="dieuCharChar"/>
          <w:color w:val="auto"/>
          <w:sz w:val="28"/>
          <w:szCs w:val="28"/>
        </w:rPr>
        <w:t>I</w:t>
      </w:r>
      <w:r w:rsidR="00C14B9F" w:rsidRPr="00FD1023">
        <w:rPr>
          <w:rStyle w:val="dieuCharChar"/>
          <w:color w:val="auto"/>
          <w:sz w:val="28"/>
          <w:szCs w:val="28"/>
        </w:rPr>
        <w:t>V</w:t>
      </w:r>
      <w:r w:rsidR="00EF2C2F" w:rsidRPr="00FD1023">
        <w:rPr>
          <w:rStyle w:val="dieuCharChar"/>
          <w:color w:val="auto"/>
          <w:sz w:val="28"/>
          <w:szCs w:val="28"/>
        </w:rPr>
        <w:t>. ĐỀ XUẤT</w:t>
      </w:r>
      <w:r w:rsidR="00651D46" w:rsidRPr="00FD1023">
        <w:rPr>
          <w:shd w:val="clear" w:color="auto" w:fill="FFFFFF"/>
        </w:rPr>
        <w:t xml:space="preserve">, </w:t>
      </w:r>
      <w:r w:rsidR="00651D46" w:rsidRPr="00FD1023">
        <w:rPr>
          <w:rStyle w:val="dieuCharChar"/>
          <w:color w:val="auto"/>
          <w:sz w:val="28"/>
          <w:szCs w:val="28"/>
        </w:rPr>
        <w:t>KIẾN NGHỊ</w:t>
      </w:r>
    </w:p>
    <w:p w14:paraId="07F0EE35" w14:textId="5B6EAA81" w:rsidR="00115C88" w:rsidRPr="00FD1023" w:rsidRDefault="00EF2C2F" w:rsidP="00E816E1">
      <w:pPr>
        <w:tabs>
          <w:tab w:val="left" w:pos="993"/>
        </w:tabs>
        <w:spacing w:after="100"/>
        <w:ind w:firstLine="720"/>
        <w:jc w:val="both"/>
        <w:rPr>
          <w:spacing w:val="-4"/>
        </w:rPr>
      </w:pPr>
      <w:r w:rsidRPr="00FD1023">
        <w:rPr>
          <w:spacing w:val="-4"/>
        </w:rPr>
        <w:t>T</w:t>
      </w:r>
      <w:r w:rsidR="005C6C98">
        <w:rPr>
          <w:spacing w:val="-4"/>
        </w:rPr>
        <w:t xml:space="preserve">ừ thực tiễn triển khai </w:t>
      </w:r>
      <w:r w:rsidRPr="00FD1023">
        <w:rPr>
          <w:spacing w:val="-4"/>
        </w:rPr>
        <w:t xml:space="preserve">công tác cải cách TTHC năm 2023, Văn phòng Chính phủ kiến nghị Chính phủ, Thủ tướng Chính phủ chỉ đạo các đồng chí Bộ trưởng, Thủ trưởng cơ quan ngang bộ, cơ quan thuộc Chính phủ, Chủ tịch Ủy ban nhân dân các tỉnh, thành phố trực thuộc Trung ương: </w:t>
      </w:r>
    </w:p>
    <w:p w14:paraId="793E167F" w14:textId="43D05D45" w:rsidR="00115C88" w:rsidRPr="00FD1023" w:rsidRDefault="00115C88" w:rsidP="00E816E1">
      <w:pPr>
        <w:tabs>
          <w:tab w:val="left" w:pos="851"/>
          <w:tab w:val="left" w:pos="993"/>
        </w:tabs>
        <w:spacing w:after="100"/>
        <w:ind w:firstLine="720"/>
        <w:jc w:val="both"/>
        <w:rPr>
          <w:lang w:val="en-US"/>
        </w:rPr>
      </w:pPr>
      <w:r w:rsidRPr="00FD1023">
        <w:rPr>
          <w:b/>
          <w:spacing w:val="-4"/>
        </w:rPr>
        <w:t>1.</w:t>
      </w:r>
      <w:r w:rsidRPr="00FD1023">
        <w:rPr>
          <w:spacing w:val="-4"/>
        </w:rPr>
        <w:t xml:space="preserve"> </w:t>
      </w:r>
      <w:r w:rsidR="00A956AB" w:rsidRPr="00FD1023">
        <w:rPr>
          <w:spacing w:val="-4"/>
        </w:rPr>
        <w:t xml:space="preserve">Trên cơ sở các nhiệm vụ, giải pháp </w:t>
      </w:r>
      <w:r w:rsidR="00A11257" w:rsidRPr="00FD1023">
        <w:rPr>
          <w:spacing w:val="-4"/>
        </w:rPr>
        <w:t xml:space="preserve">chủ yếu </w:t>
      </w:r>
      <w:r w:rsidR="00A956AB" w:rsidRPr="00FD1023">
        <w:rPr>
          <w:spacing w:val="-4"/>
        </w:rPr>
        <w:t xml:space="preserve">Chính phủ, Thủ tướng Chính phủ giao </w:t>
      </w:r>
      <w:r w:rsidR="00A11257" w:rsidRPr="00FD1023">
        <w:rPr>
          <w:spacing w:val="-4"/>
        </w:rPr>
        <w:t xml:space="preserve">tại các Nghị quyết: số 01/NQ-CP, số 02/NQ-CP năm 2024 </w:t>
      </w:r>
      <w:r w:rsidR="00A956AB" w:rsidRPr="00FD1023">
        <w:rPr>
          <w:spacing w:val="-4"/>
        </w:rPr>
        <w:t>và nhiệm vụ trọng tâm tại Mục II</w:t>
      </w:r>
      <w:r w:rsidR="00A11257" w:rsidRPr="00FD1023">
        <w:rPr>
          <w:spacing w:val="-4"/>
        </w:rPr>
        <w:t>I</w:t>
      </w:r>
      <w:r w:rsidR="00A956AB" w:rsidRPr="00FD1023">
        <w:rPr>
          <w:spacing w:val="-4"/>
        </w:rPr>
        <w:t xml:space="preserve"> </w:t>
      </w:r>
      <w:r w:rsidR="00A956AB" w:rsidRPr="00FD1023">
        <w:t>Báo cáo này</w:t>
      </w:r>
      <w:r w:rsidR="00570802" w:rsidRPr="00FD1023">
        <w:t>, c</w:t>
      </w:r>
      <w:r w:rsidR="00903F29" w:rsidRPr="00FD1023">
        <w:rPr>
          <w:spacing w:val="-4"/>
        </w:rPr>
        <w:t>hỉ đạo các cơ quan, đơn vị xây dựng chương trình, kế hoạch công tác cải cách TTHC năm 2024 để t</w:t>
      </w:r>
      <w:r w:rsidR="00EF2C2F" w:rsidRPr="00FD1023">
        <w:rPr>
          <w:spacing w:val="-4"/>
        </w:rPr>
        <w:t xml:space="preserve">ập trung </w:t>
      </w:r>
      <w:r w:rsidR="00903F29" w:rsidRPr="00FD1023">
        <w:rPr>
          <w:spacing w:val="-4"/>
        </w:rPr>
        <w:t xml:space="preserve">tổ chức </w:t>
      </w:r>
      <w:r w:rsidR="00EF2C2F" w:rsidRPr="00FD1023">
        <w:rPr>
          <w:spacing w:val="-4"/>
        </w:rPr>
        <w:t xml:space="preserve">triển khai kịp thời, đầy đủ, </w:t>
      </w:r>
      <w:r w:rsidR="00570802" w:rsidRPr="00FD1023">
        <w:rPr>
          <w:spacing w:val="-4"/>
        </w:rPr>
        <w:t xml:space="preserve">thực chất và </w:t>
      </w:r>
      <w:r w:rsidR="00EF2C2F" w:rsidRPr="00FD1023">
        <w:rPr>
          <w:spacing w:val="-4"/>
        </w:rPr>
        <w:t>hiệu quả</w:t>
      </w:r>
      <w:r w:rsidR="00570802" w:rsidRPr="00FD1023">
        <w:rPr>
          <w:spacing w:val="-4"/>
        </w:rPr>
        <w:t>.</w:t>
      </w:r>
      <w:r w:rsidR="00EF2C2F" w:rsidRPr="00FD1023">
        <w:rPr>
          <w:spacing w:val="-4"/>
        </w:rPr>
        <w:t xml:space="preserve"> </w:t>
      </w:r>
    </w:p>
    <w:p w14:paraId="1774F9D9" w14:textId="39FF2B4C" w:rsidR="00EF2C2F" w:rsidRPr="00FD1023" w:rsidRDefault="00EF2C2F" w:rsidP="00E816E1">
      <w:pPr>
        <w:tabs>
          <w:tab w:val="left" w:pos="851"/>
          <w:tab w:val="left" w:pos="993"/>
        </w:tabs>
        <w:spacing w:after="100"/>
        <w:ind w:firstLine="720"/>
        <w:jc w:val="both"/>
        <w:rPr>
          <w:b/>
          <w:spacing w:val="-4"/>
        </w:rPr>
      </w:pPr>
      <w:r w:rsidRPr="00FD1023">
        <w:rPr>
          <w:b/>
          <w:lang w:val="en-US"/>
        </w:rPr>
        <w:t>2.</w:t>
      </w:r>
      <w:r w:rsidR="0069356E" w:rsidRPr="00FD1023">
        <w:rPr>
          <w:lang w:val="en-US"/>
        </w:rPr>
        <w:t xml:space="preserve"> </w:t>
      </w:r>
      <w:r w:rsidR="00115C88" w:rsidRPr="00FD1023">
        <w:rPr>
          <w:lang w:val="en-US"/>
        </w:rPr>
        <w:t>Văn phòng Chính phủ chủ trì, phối hợp với các bộ, ngành, địa phương, cơ quan liên quan xây dựng, trình Thủ tướng Chính phủ ban hành Kế hoạch cải cách TTHC trọng tâm năm 2024</w:t>
      </w:r>
      <w:r w:rsidR="00115C88" w:rsidRPr="00FD1023">
        <w:rPr>
          <w:spacing w:val="-4"/>
          <w:lang w:val="en-US"/>
        </w:rPr>
        <w:t>; thời hạn hoàn thành trong tháng 01 năm 2024.</w:t>
      </w:r>
    </w:p>
    <w:p w14:paraId="5994CE3F" w14:textId="504B2206" w:rsidR="00964372" w:rsidRPr="00FD1023" w:rsidRDefault="001418E4" w:rsidP="00E816E1">
      <w:pPr>
        <w:spacing w:after="100"/>
        <w:ind w:firstLine="709"/>
        <w:jc w:val="both"/>
      </w:pPr>
      <w:r w:rsidRPr="00FD1023">
        <w:tab/>
      </w:r>
      <w:r w:rsidR="00367E35" w:rsidRPr="00FD1023">
        <w:t xml:space="preserve">Trên đây là Báo cáo </w:t>
      </w:r>
      <w:r w:rsidR="00903F29" w:rsidRPr="00FD1023">
        <w:t xml:space="preserve">tình hình, </w:t>
      </w:r>
      <w:r w:rsidR="007D2E09" w:rsidRPr="00FD1023">
        <w:t xml:space="preserve">kết quả </w:t>
      </w:r>
      <w:r w:rsidR="00903F29" w:rsidRPr="00FD1023">
        <w:t xml:space="preserve">thực hiện </w:t>
      </w:r>
      <w:r w:rsidR="00953D3E" w:rsidRPr="00FD1023">
        <w:t xml:space="preserve">công tác </w:t>
      </w:r>
      <w:r w:rsidR="007D2E09" w:rsidRPr="00FD1023">
        <w:t xml:space="preserve">cải cách TTHC </w:t>
      </w:r>
      <w:r w:rsidR="002C491C" w:rsidRPr="00FD1023">
        <w:t>năm 2023</w:t>
      </w:r>
      <w:r w:rsidR="00EA7998" w:rsidRPr="00FD1023">
        <w:t xml:space="preserve"> </w:t>
      </w:r>
      <w:r w:rsidR="00545604" w:rsidRPr="00FD1023">
        <w:t>và</w:t>
      </w:r>
      <w:r w:rsidR="00367E35" w:rsidRPr="00FD1023">
        <w:t xml:space="preserve"> nhiệm vụ</w:t>
      </w:r>
      <w:r w:rsidR="007D2E09" w:rsidRPr="00FD1023">
        <w:t xml:space="preserve"> trọng tâm </w:t>
      </w:r>
      <w:r w:rsidR="00367E35" w:rsidRPr="00FD1023">
        <w:t>năm 202</w:t>
      </w:r>
      <w:r w:rsidR="002C491C" w:rsidRPr="00FD1023">
        <w:t>4</w:t>
      </w:r>
      <w:r w:rsidR="00367E35" w:rsidRPr="00FD1023">
        <w:t>, Văn phòng Chính phủ kính trình Chính phủ</w:t>
      </w:r>
      <w:r w:rsidR="00903F29" w:rsidRPr="00FD1023">
        <w:t>, Thủ tướng Chính phủ xem xét, chỉ đạo</w:t>
      </w:r>
      <w:r w:rsidR="00367E35" w:rsidRPr="00FD1023">
        <w:t>./.</w:t>
      </w:r>
    </w:p>
    <w:p w14:paraId="6D65301F" w14:textId="77777777" w:rsidR="00903F29" w:rsidRPr="00FD1023" w:rsidRDefault="00903F29" w:rsidP="003428C3">
      <w:pPr>
        <w:spacing w:before="40" w:after="80"/>
        <w:ind w:firstLine="709"/>
        <w:jc w:val="both"/>
      </w:pPr>
    </w:p>
    <w:tbl>
      <w:tblPr>
        <w:tblStyle w:val="a2"/>
        <w:tblW w:w="9072" w:type="dxa"/>
        <w:tblLayout w:type="fixed"/>
        <w:tblLook w:val="0000" w:firstRow="0" w:lastRow="0" w:firstColumn="0" w:lastColumn="0" w:noHBand="0" w:noVBand="0"/>
      </w:tblPr>
      <w:tblGrid>
        <w:gridCol w:w="4865"/>
        <w:gridCol w:w="4207"/>
      </w:tblGrid>
      <w:tr w:rsidR="00964372" w:rsidRPr="00FD1023" w14:paraId="3DA52AEA" w14:textId="77777777" w:rsidTr="00E9003B">
        <w:trPr>
          <w:trHeight w:val="1402"/>
        </w:trPr>
        <w:tc>
          <w:tcPr>
            <w:tcW w:w="4865" w:type="dxa"/>
          </w:tcPr>
          <w:p w14:paraId="3CB921DA" w14:textId="77777777" w:rsidR="00964372" w:rsidRPr="00FD1023" w:rsidRDefault="00367E35">
            <w:pPr>
              <w:widowControl w:val="0"/>
              <w:jc w:val="both"/>
              <w:rPr>
                <w:sz w:val="24"/>
                <w:szCs w:val="24"/>
              </w:rPr>
            </w:pPr>
            <w:r w:rsidRPr="00FD1023">
              <w:rPr>
                <w:b/>
                <w:i/>
                <w:sz w:val="24"/>
                <w:szCs w:val="24"/>
              </w:rPr>
              <w:t>Nơi nhận</w:t>
            </w:r>
            <w:r w:rsidRPr="00FD1023">
              <w:rPr>
                <w:sz w:val="24"/>
                <w:szCs w:val="24"/>
              </w:rPr>
              <w:t>:</w:t>
            </w:r>
          </w:p>
          <w:p w14:paraId="25546F4E" w14:textId="77777777" w:rsidR="00964372" w:rsidRPr="00FD1023" w:rsidRDefault="00367E35" w:rsidP="00B30512">
            <w:pPr>
              <w:ind w:left="-108"/>
              <w:rPr>
                <w:sz w:val="22"/>
                <w:szCs w:val="22"/>
              </w:rPr>
            </w:pPr>
            <w:r w:rsidRPr="00FD1023">
              <w:rPr>
                <w:sz w:val="22"/>
                <w:szCs w:val="22"/>
              </w:rPr>
              <w:t xml:space="preserve">  - Như trên;</w:t>
            </w:r>
          </w:p>
          <w:p w14:paraId="333EC546" w14:textId="77777777" w:rsidR="00964372" w:rsidRPr="00FD1023" w:rsidRDefault="00367E35" w:rsidP="00B30512">
            <w:pPr>
              <w:ind w:left="-108"/>
              <w:rPr>
                <w:sz w:val="22"/>
                <w:szCs w:val="22"/>
              </w:rPr>
            </w:pPr>
            <w:r w:rsidRPr="00FD1023">
              <w:rPr>
                <w:sz w:val="22"/>
                <w:szCs w:val="22"/>
              </w:rPr>
              <w:t xml:space="preserve">  - TTgCP, các Phó TTgCP (để b/c); </w:t>
            </w:r>
          </w:p>
          <w:p w14:paraId="0A22E247" w14:textId="77777777" w:rsidR="00964372" w:rsidRPr="00FD1023" w:rsidRDefault="00367E35" w:rsidP="00B30512">
            <w:pPr>
              <w:ind w:left="-108"/>
              <w:rPr>
                <w:sz w:val="22"/>
                <w:szCs w:val="22"/>
              </w:rPr>
            </w:pPr>
            <w:r w:rsidRPr="00FD1023">
              <w:rPr>
                <w:sz w:val="22"/>
                <w:szCs w:val="22"/>
              </w:rPr>
              <w:t xml:space="preserve">  - Các bộ, cơ quan ngang bộ, Cơ quan thuộc CP;</w:t>
            </w:r>
          </w:p>
          <w:p w14:paraId="774F7B15" w14:textId="77777777" w:rsidR="00964372" w:rsidRPr="00FD1023" w:rsidRDefault="00367E35" w:rsidP="00B30512">
            <w:pPr>
              <w:ind w:left="-108"/>
              <w:rPr>
                <w:sz w:val="22"/>
                <w:szCs w:val="22"/>
              </w:rPr>
            </w:pPr>
            <w:r w:rsidRPr="00FD1023">
              <w:rPr>
                <w:sz w:val="22"/>
                <w:szCs w:val="22"/>
              </w:rPr>
              <w:t xml:space="preserve">  - UBND các tỉnh, thành phố trực thuộc TW;</w:t>
            </w:r>
          </w:p>
          <w:p w14:paraId="3F31C4CC" w14:textId="77777777" w:rsidR="00964372" w:rsidRPr="00FD1023" w:rsidRDefault="00367E35" w:rsidP="00B30512">
            <w:pPr>
              <w:ind w:left="-108"/>
              <w:jc w:val="both"/>
              <w:rPr>
                <w:sz w:val="22"/>
                <w:szCs w:val="22"/>
              </w:rPr>
            </w:pPr>
            <w:r w:rsidRPr="00FD1023">
              <w:rPr>
                <w:sz w:val="22"/>
                <w:szCs w:val="22"/>
              </w:rPr>
              <w:t xml:space="preserve"> </w:t>
            </w:r>
            <w:r w:rsidR="00B30512" w:rsidRPr="00FD1023">
              <w:rPr>
                <w:sz w:val="22"/>
                <w:szCs w:val="22"/>
              </w:rPr>
              <w:t xml:space="preserve"> </w:t>
            </w:r>
            <w:r w:rsidRPr="00FD1023">
              <w:rPr>
                <w:sz w:val="22"/>
                <w:szCs w:val="22"/>
              </w:rPr>
              <w:t xml:space="preserve">- VPCP: BTCN, các PCN; </w:t>
            </w:r>
          </w:p>
          <w:p w14:paraId="73579CCC" w14:textId="741DB250" w:rsidR="00964372" w:rsidRPr="00FD1023" w:rsidRDefault="00EE389F" w:rsidP="00B30512">
            <w:pPr>
              <w:ind w:left="-108"/>
              <w:jc w:val="both"/>
              <w:rPr>
                <w:sz w:val="22"/>
                <w:szCs w:val="22"/>
              </w:rPr>
            </w:pPr>
            <w:r w:rsidRPr="00FD1023">
              <w:rPr>
                <w:sz w:val="22"/>
                <w:szCs w:val="22"/>
              </w:rPr>
              <w:t xml:space="preserve"> </w:t>
            </w:r>
            <w:r w:rsidR="00367E35" w:rsidRPr="00FD1023">
              <w:rPr>
                <w:sz w:val="22"/>
                <w:szCs w:val="22"/>
              </w:rPr>
              <w:t xml:space="preserve"> </w:t>
            </w:r>
            <w:r w:rsidR="00FD1023" w:rsidRPr="00FD1023">
              <w:rPr>
                <w:sz w:val="22"/>
                <w:szCs w:val="22"/>
              </w:rPr>
              <w:t xml:space="preserve"> </w:t>
            </w:r>
            <w:r w:rsidR="00367E35" w:rsidRPr="00FD1023">
              <w:rPr>
                <w:sz w:val="22"/>
                <w:szCs w:val="22"/>
              </w:rPr>
              <w:t>Trợ lý, Thư ký TTg, các PTTg;</w:t>
            </w:r>
          </w:p>
          <w:p w14:paraId="03274463" w14:textId="6100BB48" w:rsidR="00E67935" w:rsidRPr="00FD1023" w:rsidRDefault="00367E35" w:rsidP="00B30512">
            <w:pPr>
              <w:ind w:left="-108"/>
              <w:jc w:val="both"/>
              <w:rPr>
                <w:sz w:val="22"/>
                <w:szCs w:val="22"/>
              </w:rPr>
            </w:pPr>
            <w:r w:rsidRPr="00FD1023">
              <w:rPr>
                <w:sz w:val="22"/>
                <w:szCs w:val="22"/>
              </w:rPr>
              <w:t xml:space="preserve">  </w:t>
            </w:r>
            <w:r w:rsidR="00FD1023" w:rsidRPr="00FD1023">
              <w:rPr>
                <w:sz w:val="22"/>
                <w:szCs w:val="22"/>
              </w:rPr>
              <w:t xml:space="preserve"> </w:t>
            </w:r>
            <w:r w:rsidRPr="00FD1023">
              <w:rPr>
                <w:sz w:val="22"/>
                <w:szCs w:val="22"/>
              </w:rPr>
              <w:t>các Vụ, Cục: TH, KTTH, PL, KGVX, NC,</w:t>
            </w:r>
            <w:r w:rsidR="00E67935" w:rsidRPr="00FD1023">
              <w:rPr>
                <w:sz w:val="22"/>
                <w:szCs w:val="22"/>
              </w:rPr>
              <w:t xml:space="preserve"> </w:t>
            </w:r>
            <w:r w:rsidRPr="00FD1023">
              <w:rPr>
                <w:sz w:val="22"/>
                <w:szCs w:val="22"/>
              </w:rPr>
              <w:t>CN,</w:t>
            </w:r>
          </w:p>
          <w:p w14:paraId="14772A43" w14:textId="26AD4A1B" w:rsidR="00964372" w:rsidRPr="00FD1023" w:rsidRDefault="00060772" w:rsidP="00B30512">
            <w:pPr>
              <w:ind w:left="-108"/>
              <w:jc w:val="both"/>
              <w:rPr>
                <w:sz w:val="22"/>
                <w:szCs w:val="22"/>
              </w:rPr>
            </w:pPr>
            <w:r w:rsidRPr="00FD1023">
              <w:rPr>
                <w:sz w:val="22"/>
                <w:szCs w:val="22"/>
              </w:rPr>
              <w:t xml:space="preserve"> </w:t>
            </w:r>
            <w:r w:rsidR="00F55589" w:rsidRPr="00FD1023">
              <w:rPr>
                <w:sz w:val="22"/>
                <w:szCs w:val="22"/>
              </w:rPr>
              <w:t xml:space="preserve"> </w:t>
            </w:r>
            <w:r w:rsidR="00FD1023" w:rsidRPr="00FD1023">
              <w:rPr>
                <w:sz w:val="22"/>
                <w:szCs w:val="22"/>
              </w:rPr>
              <w:t xml:space="preserve"> </w:t>
            </w:r>
            <w:r w:rsidR="00367E35" w:rsidRPr="00FD1023">
              <w:rPr>
                <w:sz w:val="22"/>
                <w:szCs w:val="22"/>
              </w:rPr>
              <w:t xml:space="preserve">NN, ĐMDN, </w:t>
            </w:r>
            <w:r w:rsidR="00E67935" w:rsidRPr="00FD1023">
              <w:rPr>
                <w:sz w:val="22"/>
                <w:szCs w:val="22"/>
              </w:rPr>
              <w:t>TCCV</w:t>
            </w:r>
            <w:r w:rsidR="00903F29" w:rsidRPr="00FD1023">
              <w:rPr>
                <w:sz w:val="22"/>
                <w:szCs w:val="22"/>
              </w:rPr>
              <w:t>, TCCB</w:t>
            </w:r>
            <w:r w:rsidR="00367E35" w:rsidRPr="00FD1023">
              <w:rPr>
                <w:sz w:val="22"/>
                <w:szCs w:val="22"/>
              </w:rPr>
              <w:t>;</w:t>
            </w:r>
          </w:p>
          <w:p w14:paraId="3A9D0AD5" w14:textId="77777777" w:rsidR="00964372" w:rsidRPr="00FD1023" w:rsidRDefault="00B30512" w:rsidP="00B30512">
            <w:pPr>
              <w:widowControl w:val="0"/>
              <w:ind w:left="-108"/>
              <w:jc w:val="both"/>
              <w:rPr>
                <w:sz w:val="28"/>
                <w:szCs w:val="28"/>
              </w:rPr>
            </w:pPr>
            <w:r w:rsidRPr="00FD1023">
              <w:rPr>
                <w:sz w:val="22"/>
                <w:szCs w:val="22"/>
              </w:rPr>
              <w:t xml:space="preserve"> </w:t>
            </w:r>
            <w:r w:rsidR="00367E35" w:rsidRPr="00FD1023">
              <w:rPr>
                <w:sz w:val="22"/>
                <w:szCs w:val="22"/>
              </w:rPr>
              <w:t>- Lưu: VT, KSTT</w:t>
            </w:r>
            <w:r w:rsidR="007D2E09" w:rsidRPr="00FD1023">
              <w:rPr>
                <w:sz w:val="22"/>
                <w:szCs w:val="22"/>
              </w:rPr>
              <w:t xml:space="preserve"> </w:t>
            </w:r>
            <w:r w:rsidR="00367E35" w:rsidRPr="00FD1023">
              <w:rPr>
                <w:sz w:val="22"/>
                <w:szCs w:val="22"/>
              </w:rPr>
              <w:t>(2b)</w:t>
            </w:r>
            <w:r w:rsidR="007D2E09" w:rsidRPr="00FD1023">
              <w:rPr>
                <w:sz w:val="22"/>
                <w:szCs w:val="22"/>
              </w:rPr>
              <w:t>.</w:t>
            </w:r>
          </w:p>
        </w:tc>
        <w:tc>
          <w:tcPr>
            <w:tcW w:w="4207" w:type="dxa"/>
          </w:tcPr>
          <w:p w14:paraId="35B56A97" w14:textId="77777777" w:rsidR="00964372" w:rsidRPr="00FD1023" w:rsidRDefault="00367E35">
            <w:pPr>
              <w:widowControl w:val="0"/>
              <w:jc w:val="center"/>
              <w:rPr>
                <w:b/>
                <w:sz w:val="28"/>
                <w:szCs w:val="28"/>
              </w:rPr>
            </w:pPr>
            <w:r w:rsidRPr="00FD1023">
              <w:rPr>
                <w:b/>
                <w:sz w:val="28"/>
                <w:szCs w:val="28"/>
              </w:rPr>
              <w:t>BỘ TRƯỞNG, CHỦ NHIỆM</w:t>
            </w:r>
          </w:p>
          <w:p w14:paraId="0BC6FB33" w14:textId="77777777" w:rsidR="00964372" w:rsidRPr="00FD1023" w:rsidRDefault="00964372">
            <w:pPr>
              <w:widowControl w:val="0"/>
              <w:jc w:val="center"/>
              <w:rPr>
                <w:b/>
                <w:sz w:val="28"/>
                <w:szCs w:val="28"/>
              </w:rPr>
            </w:pPr>
          </w:p>
          <w:p w14:paraId="6B9F8CEC" w14:textId="77777777" w:rsidR="00964372" w:rsidRPr="00FD1023" w:rsidRDefault="00367E35">
            <w:pPr>
              <w:widowControl w:val="0"/>
              <w:jc w:val="center"/>
              <w:rPr>
                <w:b/>
                <w:color w:val="FFFFFF" w:themeColor="background1"/>
                <w:sz w:val="28"/>
                <w:szCs w:val="28"/>
              </w:rPr>
            </w:pPr>
            <w:r w:rsidRPr="00FD1023">
              <w:rPr>
                <w:b/>
                <w:color w:val="FFFFFF" w:themeColor="background1"/>
                <w:sz w:val="28"/>
                <w:szCs w:val="28"/>
              </w:rPr>
              <w:t xml:space="preserve"> [daky]</w:t>
            </w:r>
          </w:p>
          <w:p w14:paraId="68264682" w14:textId="6183DE43" w:rsidR="00964372" w:rsidRDefault="00964372" w:rsidP="0010021D">
            <w:pPr>
              <w:widowControl w:val="0"/>
              <w:rPr>
                <w:b/>
                <w:sz w:val="28"/>
                <w:szCs w:val="28"/>
              </w:rPr>
            </w:pPr>
          </w:p>
          <w:p w14:paraId="1AF29F3C" w14:textId="77777777" w:rsidR="00447085" w:rsidRPr="00FD1023" w:rsidRDefault="00447085" w:rsidP="0010021D">
            <w:pPr>
              <w:widowControl w:val="0"/>
              <w:rPr>
                <w:b/>
                <w:sz w:val="28"/>
                <w:szCs w:val="28"/>
              </w:rPr>
            </w:pPr>
          </w:p>
          <w:p w14:paraId="1F6BCD8F" w14:textId="77777777" w:rsidR="00DC6C3B" w:rsidRPr="00FD1023" w:rsidRDefault="00DC6C3B">
            <w:pPr>
              <w:widowControl w:val="0"/>
              <w:jc w:val="center"/>
              <w:rPr>
                <w:b/>
                <w:sz w:val="28"/>
                <w:szCs w:val="28"/>
              </w:rPr>
            </w:pPr>
          </w:p>
          <w:p w14:paraId="05B9A2BF" w14:textId="77777777" w:rsidR="00964372" w:rsidRPr="00FD1023" w:rsidRDefault="00367E35">
            <w:pPr>
              <w:widowControl w:val="0"/>
              <w:jc w:val="center"/>
              <w:rPr>
                <w:b/>
                <w:sz w:val="28"/>
                <w:szCs w:val="28"/>
              </w:rPr>
            </w:pPr>
            <w:r w:rsidRPr="00FD1023">
              <w:rPr>
                <w:b/>
                <w:sz w:val="28"/>
                <w:szCs w:val="28"/>
              </w:rPr>
              <w:t>Trần Văn Sơn</w:t>
            </w:r>
          </w:p>
        </w:tc>
      </w:tr>
      <w:bookmarkEnd w:id="0"/>
    </w:tbl>
    <w:p w14:paraId="046C2F53" w14:textId="77777777" w:rsidR="00964372" w:rsidRPr="00FD1023" w:rsidRDefault="00964372" w:rsidP="00BD0BC4">
      <w:pPr>
        <w:spacing w:line="276" w:lineRule="auto"/>
      </w:pPr>
    </w:p>
    <w:sectPr w:rsidR="00964372" w:rsidRPr="00FD1023" w:rsidSect="004E5187">
      <w:headerReference w:type="default" r:id="rId9"/>
      <w:footerReference w:type="default" r:id="rId10"/>
      <w:headerReference w:type="first" r:id="rId11"/>
      <w:pgSz w:w="11907" w:h="16840" w:code="9"/>
      <w:pgMar w:top="1134" w:right="1134" w:bottom="1134" w:left="1701" w:header="425"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4B526" w14:textId="77777777" w:rsidR="00C76570" w:rsidRDefault="00C76570">
      <w:r>
        <w:separator/>
      </w:r>
    </w:p>
  </w:endnote>
  <w:endnote w:type="continuationSeparator" w:id="0">
    <w:p w14:paraId="221F7035" w14:textId="77777777" w:rsidR="00C76570" w:rsidRDefault="00C7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enQuanYi Micro Hei">
    <w:charset w:val="00"/>
    <w:family w:val="auto"/>
    <w:pitch w:val="variable"/>
  </w:font>
  <w:font w:name="Lohit Hindi">
    <w:charset w:val="8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E46C" w14:textId="77777777" w:rsidR="00447085" w:rsidRDefault="00447085">
    <w:pPr>
      <w:pBdr>
        <w:top w:val="nil"/>
        <w:left w:val="nil"/>
        <w:bottom w:val="nil"/>
        <w:right w:val="nil"/>
        <w:between w:val="nil"/>
      </w:pBdr>
      <w:tabs>
        <w:tab w:val="center" w:pos="4680"/>
        <w:tab w:val="right" w:pos="9360"/>
      </w:tabs>
      <w:jc w:val="right"/>
      <w:rPr>
        <w:color w:val="000000"/>
      </w:rPr>
    </w:pPr>
  </w:p>
  <w:p w14:paraId="4F3BF281" w14:textId="77777777" w:rsidR="00447085" w:rsidRDefault="0044708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05E0D" w14:textId="77777777" w:rsidR="00C76570" w:rsidRDefault="00C76570">
      <w:r>
        <w:separator/>
      </w:r>
    </w:p>
  </w:footnote>
  <w:footnote w:type="continuationSeparator" w:id="0">
    <w:p w14:paraId="2BE93C46" w14:textId="77777777" w:rsidR="00C76570" w:rsidRDefault="00C76570">
      <w:r>
        <w:continuationSeparator/>
      </w:r>
    </w:p>
  </w:footnote>
  <w:footnote w:id="1">
    <w:p w14:paraId="5BDAE29E" w14:textId="3169C340" w:rsidR="00447085" w:rsidRPr="0075154F" w:rsidRDefault="00447085" w:rsidP="00A26449">
      <w:pPr>
        <w:pStyle w:val="FootnoteText"/>
        <w:spacing w:after="20"/>
        <w:jc w:val="both"/>
        <w:rPr>
          <w:sz w:val="20"/>
          <w:szCs w:val="20"/>
        </w:rPr>
      </w:pPr>
      <w:r w:rsidRPr="0075154F">
        <w:rPr>
          <w:rStyle w:val="FootnoteReference"/>
          <w:sz w:val="20"/>
          <w:szCs w:val="20"/>
        </w:rPr>
        <w:footnoteRef/>
      </w:r>
      <w:r w:rsidRPr="0075154F">
        <w:rPr>
          <w:sz w:val="20"/>
          <w:szCs w:val="20"/>
        </w:rPr>
        <w:t xml:space="preserve"> Tại Nghị quyết số 01/NQ-CP năm 2023, các Nghị quyết Phiên họp Chính phủ thường kỳ tháng 01</w:t>
      </w:r>
      <w:r>
        <w:rPr>
          <w:sz w:val="20"/>
          <w:szCs w:val="20"/>
        </w:rPr>
        <w:t xml:space="preserve"> đến tháng 11 </w:t>
      </w:r>
      <w:r w:rsidRPr="0075154F">
        <w:rPr>
          <w:sz w:val="20"/>
          <w:szCs w:val="20"/>
        </w:rPr>
        <w:t xml:space="preserve">(số 10/NQ-CP ngày </w:t>
      </w:r>
      <w:r w:rsidRPr="0075154F">
        <w:rPr>
          <w:sz w:val="20"/>
          <w:szCs w:val="20"/>
          <w:shd w:val="clear" w:color="auto" w:fill="FFFFFF"/>
        </w:rPr>
        <w:t>03/02/2023, số</w:t>
      </w:r>
      <w:r w:rsidRPr="0075154F">
        <w:rPr>
          <w:b/>
          <w:sz w:val="20"/>
          <w:szCs w:val="20"/>
          <w:shd w:val="clear" w:color="auto" w:fill="FFFFFF"/>
        </w:rPr>
        <w:t xml:space="preserve"> </w:t>
      </w:r>
      <w:r w:rsidRPr="0075154F">
        <w:rPr>
          <w:sz w:val="20"/>
          <w:szCs w:val="20"/>
        </w:rPr>
        <w:t xml:space="preserve">31/NQ-CP ngày 07/3/2023, số 50/NQ-CP ngày 08/4/2023, số 74/NQ-CP ngày 07/5/2023, số 88/NQ-CP ngày 08/6/2023, số 97/NQ-CP ngày 08/7/2023, số </w:t>
      </w:r>
      <w:r w:rsidRPr="0075154F">
        <w:rPr>
          <w:sz w:val="20"/>
          <w:szCs w:val="20"/>
          <w:shd w:val="clear" w:color="auto" w:fill="FFFFFF"/>
        </w:rPr>
        <w:t>124/NQ-CP ngày 07/8/2023;</w:t>
      </w:r>
      <w:r w:rsidRPr="0075154F">
        <w:rPr>
          <w:sz w:val="20"/>
          <w:szCs w:val="20"/>
        </w:rPr>
        <w:t xml:space="preserve"> số 144/NQ-CP ngày 10/9/2023, số 164/NQ-CP ngày 04/10/2023, số 185/NQ-CP ngày 07/11/2023 và số 217/NQ-CP ngày 15/12/2023); 02 Công điện số 90/CĐ-TTg ngày 28/02/2023</w:t>
      </w:r>
      <w:r w:rsidRPr="0075154F">
        <w:rPr>
          <w:spacing w:val="-4"/>
          <w:sz w:val="20"/>
          <w:szCs w:val="20"/>
        </w:rPr>
        <w:t xml:space="preserve"> và số </w:t>
      </w:r>
      <w:r w:rsidRPr="0075154F">
        <w:rPr>
          <w:spacing w:val="-4"/>
          <w:sz w:val="20"/>
          <w:szCs w:val="20"/>
          <w:lang w:eastAsia="vi-VN"/>
        </w:rPr>
        <w:t>644/CĐ-TTg ngày 13/7/2023</w:t>
      </w:r>
      <w:r w:rsidRPr="0075154F">
        <w:rPr>
          <w:sz w:val="20"/>
          <w:szCs w:val="20"/>
        </w:rPr>
        <w:t>; 02 Chỉ th</w:t>
      </w:r>
      <w:r w:rsidRPr="0075154F">
        <w:rPr>
          <w:sz w:val="20"/>
          <w:szCs w:val="20"/>
          <w:lang w:val="vi-VN"/>
        </w:rPr>
        <w:t>ị</w:t>
      </w:r>
      <w:r w:rsidRPr="0075154F">
        <w:rPr>
          <w:sz w:val="20"/>
          <w:szCs w:val="20"/>
          <w:lang w:val="en-US"/>
        </w:rPr>
        <w:t xml:space="preserve"> số </w:t>
      </w:r>
      <w:r w:rsidRPr="0075154F">
        <w:rPr>
          <w:sz w:val="20"/>
          <w:szCs w:val="20"/>
        </w:rPr>
        <w:t>23/CT-TTg ngày 09/7/2023 và số 27/CT-TTg ngày 27/10/2023; Quyết định số</w:t>
      </w:r>
      <w:r w:rsidRPr="0075154F">
        <w:rPr>
          <w:spacing w:val="-4"/>
          <w:sz w:val="20"/>
          <w:szCs w:val="20"/>
        </w:rPr>
        <w:t xml:space="preserve"> 933/QĐ-TTg ngày 06/8/2023.</w:t>
      </w:r>
    </w:p>
  </w:footnote>
  <w:footnote w:id="2">
    <w:p w14:paraId="43A66DE3" w14:textId="3F9B66C5" w:rsidR="00447085" w:rsidRPr="0075154F" w:rsidRDefault="00447085" w:rsidP="00A26449">
      <w:pPr>
        <w:pStyle w:val="FootnoteText"/>
        <w:spacing w:after="20"/>
        <w:jc w:val="both"/>
        <w:rPr>
          <w:sz w:val="20"/>
          <w:szCs w:val="20"/>
        </w:rPr>
      </w:pPr>
      <w:r w:rsidRPr="0075154F">
        <w:rPr>
          <w:rStyle w:val="FootnoteReference"/>
          <w:sz w:val="20"/>
          <w:szCs w:val="20"/>
        </w:rPr>
        <w:footnoteRef/>
      </w:r>
      <w:r w:rsidRPr="0075154F">
        <w:rPr>
          <w:sz w:val="20"/>
          <w:szCs w:val="20"/>
        </w:rPr>
        <w:t xml:space="preserve"> Các văn bản: Số 2648/VPCP-KSTT ngày 18/4/2023, số </w:t>
      </w:r>
      <w:hyperlink r:id="rId1" w:history="1">
        <w:r w:rsidRPr="0075154F">
          <w:rPr>
            <w:rStyle w:val="Hyperlink"/>
            <w:color w:val="auto"/>
            <w:sz w:val="20"/>
            <w:szCs w:val="20"/>
            <w:u w:val="none"/>
          </w:rPr>
          <w:t xml:space="preserve">2219/VPCP-KSTT </w:t>
        </w:r>
      </w:hyperlink>
      <w:r w:rsidRPr="0075154F">
        <w:rPr>
          <w:sz w:val="20"/>
          <w:szCs w:val="20"/>
        </w:rPr>
        <w:t>ngày 04/4/2023 và số 3561/VPCP-KSTT ngày 18/5/2023.</w:t>
      </w:r>
    </w:p>
  </w:footnote>
  <w:footnote w:id="3">
    <w:p w14:paraId="5303B0C3" w14:textId="41742FF6" w:rsidR="00447085" w:rsidRPr="0075154F" w:rsidRDefault="00447085" w:rsidP="00A26449">
      <w:pPr>
        <w:pStyle w:val="FootnoteText"/>
        <w:spacing w:after="20"/>
        <w:jc w:val="both"/>
        <w:rPr>
          <w:sz w:val="20"/>
          <w:szCs w:val="20"/>
          <w:lang w:val="en-US"/>
        </w:rPr>
      </w:pPr>
      <w:r w:rsidRPr="0075154F">
        <w:rPr>
          <w:rStyle w:val="FootnoteReference"/>
          <w:sz w:val="20"/>
          <w:szCs w:val="20"/>
        </w:rPr>
        <w:footnoteRef/>
      </w:r>
      <w:r w:rsidRPr="0075154F">
        <w:rPr>
          <w:sz w:val="20"/>
          <w:szCs w:val="20"/>
        </w:rPr>
        <w:t xml:space="preserve"> Các văn bản: Số 4499/VPCP-KSTT ngày 17/6/2023 và số </w:t>
      </w:r>
      <w:hyperlink r:id="rId2" w:history="1">
        <w:r w:rsidRPr="0075154F">
          <w:rPr>
            <w:rStyle w:val="Hyperlink"/>
            <w:color w:val="auto"/>
            <w:sz w:val="20"/>
            <w:szCs w:val="20"/>
            <w:u w:val="none"/>
          </w:rPr>
          <w:t xml:space="preserve">7944/VPCP-KSTT </w:t>
        </w:r>
      </w:hyperlink>
      <w:r w:rsidRPr="0075154F">
        <w:rPr>
          <w:sz w:val="20"/>
          <w:szCs w:val="20"/>
        </w:rPr>
        <w:t>ngày 12/10/2023</w:t>
      </w:r>
      <w:r>
        <w:rPr>
          <w:sz w:val="20"/>
          <w:szCs w:val="20"/>
        </w:rPr>
        <w:t>.</w:t>
      </w:r>
    </w:p>
  </w:footnote>
  <w:footnote w:id="4">
    <w:p w14:paraId="1FE0FF8D" w14:textId="77777777" w:rsidR="00447085" w:rsidRPr="0075154F" w:rsidRDefault="00447085" w:rsidP="00FD1023">
      <w:pPr>
        <w:pStyle w:val="FootnoteText"/>
        <w:jc w:val="both"/>
        <w:rPr>
          <w:sz w:val="20"/>
          <w:szCs w:val="20"/>
        </w:rPr>
      </w:pPr>
      <w:r w:rsidRPr="0075154F">
        <w:rPr>
          <w:rStyle w:val="FootnoteReference"/>
          <w:sz w:val="20"/>
          <w:szCs w:val="20"/>
        </w:rPr>
        <w:footnoteRef/>
      </w:r>
      <w:r w:rsidRPr="0075154F">
        <w:rPr>
          <w:sz w:val="20"/>
          <w:szCs w:val="20"/>
        </w:rPr>
        <w:t xml:space="preserve"> Quyết định số 932/QĐ-TTg ngày 06/8/2023 của Thủ tướng Chính phủ.</w:t>
      </w:r>
    </w:p>
  </w:footnote>
  <w:footnote w:id="5">
    <w:p w14:paraId="68D6B93D" w14:textId="77777777" w:rsidR="00447085" w:rsidRPr="0075154F" w:rsidRDefault="00447085" w:rsidP="00FD1023">
      <w:pPr>
        <w:pStyle w:val="FootnoteText"/>
        <w:jc w:val="both"/>
        <w:rPr>
          <w:sz w:val="20"/>
          <w:szCs w:val="20"/>
        </w:rPr>
      </w:pPr>
      <w:r w:rsidRPr="0075154F">
        <w:rPr>
          <w:rStyle w:val="FootnoteReference"/>
          <w:sz w:val="20"/>
          <w:szCs w:val="20"/>
        </w:rPr>
        <w:footnoteRef/>
      </w:r>
      <w:r w:rsidRPr="0075154F">
        <w:rPr>
          <w:sz w:val="20"/>
          <w:szCs w:val="20"/>
        </w:rPr>
        <w:t xml:space="preserve"> Quyết định số 62/TCTCCTTHC ngày 18/9/2023.</w:t>
      </w:r>
    </w:p>
  </w:footnote>
  <w:footnote w:id="6">
    <w:p w14:paraId="108D3639" w14:textId="58677464" w:rsidR="00447085" w:rsidRPr="0075154F" w:rsidRDefault="00447085" w:rsidP="00FD1023">
      <w:pPr>
        <w:pStyle w:val="FootnoteText"/>
        <w:jc w:val="both"/>
        <w:rPr>
          <w:sz w:val="20"/>
          <w:szCs w:val="20"/>
        </w:rPr>
      </w:pPr>
      <w:r w:rsidRPr="0075154F">
        <w:rPr>
          <w:rStyle w:val="FootnoteReference"/>
          <w:sz w:val="20"/>
          <w:szCs w:val="20"/>
        </w:rPr>
        <w:footnoteRef/>
      </w:r>
      <w:r w:rsidRPr="0075154F">
        <w:rPr>
          <w:sz w:val="20"/>
          <w:szCs w:val="20"/>
        </w:rPr>
        <w:t xml:space="preserve"> Tại 14 văn bản của Tổ công tác cải cách TTHC </w:t>
      </w:r>
      <w:r w:rsidRPr="0075154F">
        <w:rPr>
          <w:spacing w:val="-4"/>
          <w:sz w:val="20"/>
          <w:szCs w:val="20"/>
        </w:rPr>
        <w:t xml:space="preserve">ngày 19/9/2023 (từ số </w:t>
      </w:r>
      <w:r w:rsidRPr="0075154F">
        <w:rPr>
          <w:sz w:val="20"/>
          <w:szCs w:val="20"/>
        </w:rPr>
        <w:t>63 đến số 76</w:t>
      </w:r>
      <w:r>
        <w:rPr>
          <w:sz w:val="20"/>
          <w:szCs w:val="20"/>
        </w:rPr>
        <w:t>/TCTCCTTHC</w:t>
      </w:r>
      <w:r w:rsidRPr="0075154F">
        <w:rPr>
          <w:sz w:val="20"/>
          <w:szCs w:val="20"/>
        </w:rPr>
        <w:t>)</w:t>
      </w:r>
      <w:r>
        <w:rPr>
          <w:sz w:val="20"/>
          <w:szCs w:val="20"/>
        </w:rPr>
        <w:t>.</w:t>
      </w:r>
    </w:p>
  </w:footnote>
  <w:footnote w:id="7">
    <w:p w14:paraId="1465F31D" w14:textId="13E90C27" w:rsidR="00447085" w:rsidRPr="0075154F" w:rsidRDefault="00447085" w:rsidP="00FD1023">
      <w:pPr>
        <w:pStyle w:val="FootnoteText"/>
        <w:jc w:val="both"/>
        <w:rPr>
          <w:sz w:val="20"/>
          <w:szCs w:val="20"/>
        </w:rPr>
      </w:pPr>
      <w:r w:rsidRPr="0075154F">
        <w:rPr>
          <w:rStyle w:val="FootnoteReference"/>
          <w:sz w:val="20"/>
          <w:szCs w:val="20"/>
        </w:rPr>
        <w:footnoteRef/>
      </w:r>
      <w:r w:rsidRPr="0075154F">
        <w:rPr>
          <w:sz w:val="20"/>
          <w:szCs w:val="20"/>
        </w:rPr>
        <w:t xml:space="preserve"> Thông báo số 372/TB-VPCP ngày 11/9/2023 (Phiên họp thứ nhất ngày 08/9/2023) và Thông báo số 437/TB-VPCP ngày 26/10/2023 (Phiên họp thứ hai ngày 16/10/2023).</w:t>
      </w:r>
    </w:p>
  </w:footnote>
  <w:footnote w:id="8">
    <w:p w14:paraId="262C612D" w14:textId="6E83F641" w:rsidR="00447085" w:rsidRPr="0075154F" w:rsidRDefault="00447085" w:rsidP="00FD1023">
      <w:pPr>
        <w:pStyle w:val="FootnoteText"/>
        <w:jc w:val="both"/>
        <w:rPr>
          <w:sz w:val="20"/>
          <w:szCs w:val="20"/>
        </w:rPr>
      </w:pPr>
      <w:r w:rsidRPr="0075154F">
        <w:rPr>
          <w:rStyle w:val="FootnoteReference"/>
          <w:sz w:val="20"/>
          <w:szCs w:val="20"/>
        </w:rPr>
        <w:footnoteRef/>
      </w:r>
      <w:r w:rsidRPr="0075154F">
        <w:rPr>
          <w:sz w:val="20"/>
          <w:szCs w:val="20"/>
        </w:rPr>
        <w:t xml:space="preserve"> Thông báo kết luận số 476/TB-VPCP ngày 20/11/2023</w:t>
      </w:r>
      <w:r>
        <w:rPr>
          <w:sz w:val="20"/>
          <w:szCs w:val="20"/>
        </w:rPr>
        <w:t>.</w:t>
      </w:r>
    </w:p>
  </w:footnote>
  <w:footnote w:id="9">
    <w:p w14:paraId="55FCAD82" w14:textId="77777777" w:rsidR="00447085" w:rsidRPr="0075154F" w:rsidRDefault="00447085" w:rsidP="00FD1023">
      <w:pPr>
        <w:pStyle w:val="FootnoteText"/>
        <w:jc w:val="both"/>
        <w:rPr>
          <w:sz w:val="20"/>
          <w:szCs w:val="20"/>
        </w:rPr>
      </w:pPr>
      <w:r w:rsidRPr="0075154F">
        <w:rPr>
          <w:rStyle w:val="FootnoteReference"/>
          <w:sz w:val="20"/>
          <w:szCs w:val="20"/>
        </w:rPr>
        <w:footnoteRef/>
      </w:r>
      <w:r w:rsidRPr="0075154F">
        <w:rPr>
          <w:sz w:val="20"/>
          <w:szCs w:val="20"/>
        </w:rPr>
        <w:t xml:space="preserve"> Văn bản số 100/TCTCCTTHC ngày 14/11/2023.</w:t>
      </w:r>
    </w:p>
  </w:footnote>
  <w:footnote w:id="10">
    <w:p w14:paraId="14A9F855" w14:textId="12488B3F" w:rsidR="00447085" w:rsidRPr="0075154F" w:rsidRDefault="00447085" w:rsidP="00FD1023">
      <w:pPr>
        <w:jc w:val="both"/>
        <w:rPr>
          <w:sz w:val="20"/>
          <w:szCs w:val="20"/>
          <w:lang w:eastAsia="vi-VN"/>
        </w:rPr>
      </w:pPr>
      <w:r w:rsidRPr="0075154F">
        <w:rPr>
          <w:rStyle w:val="FootnoteReference"/>
          <w:sz w:val="20"/>
          <w:szCs w:val="20"/>
        </w:rPr>
        <w:footnoteRef/>
      </w:r>
      <w:r w:rsidRPr="0075154F">
        <w:rPr>
          <w:sz w:val="20"/>
          <w:szCs w:val="20"/>
        </w:rPr>
        <w:t xml:space="preserve"> </w:t>
      </w:r>
      <w:r w:rsidRPr="0075154F">
        <w:rPr>
          <w:sz w:val="20"/>
          <w:szCs w:val="20"/>
          <w:lang w:eastAsia="vi-VN"/>
        </w:rPr>
        <w:t xml:space="preserve">Các văn bản: Số </w:t>
      </w:r>
      <w:r w:rsidRPr="0075154F">
        <w:rPr>
          <w:sz w:val="20"/>
          <w:szCs w:val="20"/>
        </w:rPr>
        <w:t xml:space="preserve">78/TCTCCTTHC ngày 21/9/2023, số 81/TCTCCTTHC ngày 18/10/2023 </w:t>
      </w:r>
      <w:r w:rsidRPr="0075154F">
        <w:rPr>
          <w:rFonts w:eastAsiaTheme="minorHAnsi"/>
          <w:sz w:val="20"/>
          <w:szCs w:val="20"/>
        </w:rPr>
        <w:t xml:space="preserve">và số </w:t>
      </w:r>
      <w:r w:rsidRPr="0075154F">
        <w:rPr>
          <w:sz w:val="20"/>
          <w:szCs w:val="20"/>
          <w:lang w:val="vi-VN" w:eastAsia="vi-VN"/>
        </w:rPr>
        <w:t xml:space="preserve">8501/VPCP-KSTT </w:t>
      </w:r>
      <w:r w:rsidRPr="0075154F">
        <w:rPr>
          <w:sz w:val="20"/>
          <w:szCs w:val="20"/>
          <w:lang w:eastAsia="vi-VN"/>
        </w:rPr>
        <w:t>ngày 31/10/2023.</w:t>
      </w:r>
    </w:p>
  </w:footnote>
  <w:footnote w:id="11">
    <w:p w14:paraId="40ECF2A3" w14:textId="0F8B1779" w:rsidR="00447085" w:rsidRPr="00E22FE5" w:rsidRDefault="00447085" w:rsidP="00FD1023">
      <w:pPr>
        <w:jc w:val="both"/>
        <w:rPr>
          <w:sz w:val="20"/>
          <w:szCs w:val="20"/>
        </w:rPr>
      </w:pPr>
      <w:r w:rsidRPr="0075154F">
        <w:rPr>
          <w:rStyle w:val="FootnoteReference"/>
          <w:sz w:val="20"/>
          <w:szCs w:val="20"/>
        </w:rPr>
        <w:footnoteRef/>
      </w:r>
      <w:r w:rsidRPr="0075154F">
        <w:rPr>
          <w:sz w:val="20"/>
          <w:szCs w:val="20"/>
        </w:rPr>
        <w:t xml:space="preserve"> </w:t>
      </w:r>
      <w:r w:rsidRPr="0075154F">
        <w:rPr>
          <w:sz w:val="20"/>
          <w:szCs w:val="20"/>
          <w:lang w:val="en-US"/>
        </w:rPr>
        <w:t>Quyết định số 1682/QĐ-TTg ngày 26/12/2023</w:t>
      </w:r>
      <w:r>
        <w:rPr>
          <w:sz w:val="20"/>
          <w:szCs w:val="20"/>
        </w:rPr>
        <w:t>:</w:t>
      </w:r>
      <w:r w:rsidRPr="00E22FE5">
        <w:rPr>
          <w:sz w:val="20"/>
          <w:szCs w:val="20"/>
        </w:rPr>
        <w:t xml:space="preserve"> Hội đồng gồm 30 thành viên do Bộ trưởng, Chủ nhiệm Văn phòng Chính phủ là Chủ tịch; 04 Phó Chủ tịch (gồm: Chủ tịch Liên đoàn Thương mại và Công nghiệp Việt Nam; Chủ tịch Hiệp hội Doanh nghiệp nhỏ và vừa Việt Nam; Chủ tịch Hội đồng sáng lập Hiệp hội Phần mềm và Dịch vụ CNTT Việt Nam và Cục trưởng Cục Kiểm soát TTHC) và các thành viên là đại diện của 20 cơ quan, tổ chức, hiệp hội doanh nghiệp trong nước và 05 hiệp hội doanh nghiệp nước ngoài. </w:t>
      </w:r>
    </w:p>
  </w:footnote>
  <w:footnote w:id="12">
    <w:p w14:paraId="01FF7D12" w14:textId="64288E7F" w:rsidR="00447085" w:rsidRPr="0075154F" w:rsidRDefault="00447085" w:rsidP="00FD1023">
      <w:pPr>
        <w:pStyle w:val="FootnoteText"/>
        <w:jc w:val="both"/>
        <w:rPr>
          <w:sz w:val="20"/>
          <w:szCs w:val="20"/>
          <w:lang w:val="en-US"/>
        </w:rPr>
      </w:pPr>
      <w:r w:rsidRPr="0075154F">
        <w:rPr>
          <w:rStyle w:val="FootnoteReference"/>
          <w:sz w:val="20"/>
          <w:szCs w:val="20"/>
        </w:rPr>
        <w:footnoteRef/>
      </w:r>
      <w:r w:rsidRPr="0075154F">
        <w:rPr>
          <w:sz w:val="20"/>
          <w:szCs w:val="20"/>
        </w:rPr>
        <w:t xml:space="preserve"> Thông tư </w:t>
      </w:r>
      <w:r w:rsidRPr="0075154F">
        <w:rPr>
          <w:rFonts w:eastAsiaTheme="minorHAnsi"/>
          <w:bCs/>
          <w:sz w:val="20"/>
          <w:szCs w:val="20"/>
          <w:lang w:val="en-US"/>
        </w:rPr>
        <w:t>số 01/2023/TT-VPCP ngày 05/4/2023</w:t>
      </w:r>
      <w:r>
        <w:rPr>
          <w:rFonts w:eastAsiaTheme="minorHAnsi"/>
          <w:bCs/>
          <w:sz w:val="20"/>
          <w:szCs w:val="20"/>
          <w:lang w:val="en-US"/>
        </w:rPr>
        <w:t>.</w:t>
      </w:r>
    </w:p>
  </w:footnote>
  <w:footnote w:id="13">
    <w:p w14:paraId="1647B43F" w14:textId="2C778E2F" w:rsidR="00447085" w:rsidRPr="00FD1023" w:rsidRDefault="00447085" w:rsidP="00A26449">
      <w:pPr>
        <w:pStyle w:val="FootnoteText"/>
        <w:spacing w:after="20"/>
        <w:jc w:val="both"/>
        <w:rPr>
          <w:sz w:val="20"/>
          <w:szCs w:val="20"/>
          <w:lang w:val="en-US"/>
        </w:rPr>
      </w:pPr>
      <w:r w:rsidRPr="00FD1023">
        <w:rPr>
          <w:rStyle w:val="FootnoteReference"/>
          <w:sz w:val="20"/>
          <w:szCs w:val="20"/>
        </w:rPr>
        <w:footnoteRef/>
      </w:r>
      <w:r w:rsidRPr="00FD1023">
        <w:rPr>
          <w:sz w:val="20"/>
          <w:szCs w:val="20"/>
        </w:rPr>
        <w:t xml:space="preserve"> </w:t>
      </w:r>
      <w:r w:rsidRPr="00FD1023">
        <w:rPr>
          <w:sz w:val="20"/>
          <w:szCs w:val="20"/>
          <w:lang w:val="en-US"/>
        </w:rPr>
        <w:t>Gồm: 15 Luật, 47 Nghị định, 02 Quyết định của TTgCP, 61 Thông tư, 49 Nghị quyết của HĐND cấp tỉnh và 04 Quyết định của Chủ tịch UBND cấp tỉnh.</w:t>
      </w:r>
    </w:p>
  </w:footnote>
  <w:footnote w:id="14">
    <w:p w14:paraId="2C4F87B4" w14:textId="77777777" w:rsidR="00447085" w:rsidRPr="00FD1023" w:rsidRDefault="00447085" w:rsidP="00A26449">
      <w:pPr>
        <w:pStyle w:val="FootnoteText"/>
        <w:spacing w:after="20"/>
        <w:jc w:val="both"/>
        <w:rPr>
          <w:sz w:val="20"/>
          <w:szCs w:val="20"/>
          <w:lang w:val="en-US"/>
        </w:rPr>
      </w:pPr>
      <w:r w:rsidRPr="00FD1023">
        <w:rPr>
          <w:rStyle w:val="FootnoteReference"/>
          <w:sz w:val="20"/>
          <w:szCs w:val="20"/>
        </w:rPr>
        <w:footnoteRef/>
      </w:r>
      <w:r w:rsidRPr="00FD1023">
        <w:rPr>
          <w:sz w:val="20"/>
          <w:szCs w:val="20"/>
        </w:rPr>
        <w:t xml:space="preserve"> G</w:t>
      </w:r>
      <w:r w:rsidRPr="00FD1023">
        <w:rPr>
          <w:iCs/>
          <w:sz w:val="20"/>
          <w:szCs w:val="20"/>
          <w:shd w:val="clear" w:color="auto" w:fill="FFFFFF"/>
        </w:rPr>
        <w:t>ồm: 139 TTHC, 03 chế độ báo cáo, 02 yêu cầu, điều kiện.</w:t>
      </w:r>
    </w:p>
  </w:footnote>
  <w:footnote w:id="15">
    <w:p w14:paraId="0215BF70" w14:textId="77777777" w:rsidR="00447085" w:rsidRPr="00FD1023" w:rsidRDefault="00447085" w:rsidP="00A26449">
      <w:pPr>
        <w:pStyle w:val="FootnoteText"/>
        <w:spacing w:after="20"/>
        <w:jc w:val="both"/>
        <w:rPr>
          <w:sz w:val="20"/>
          <w:szCs w:val="20"/>
          <w:lang w:val="en-US"/>
        </w:rPr>
      </w:pPr>
      <w:r w:rsidRPr="00FD1023">
        <w:rPr>
          <w:rStyle w:val="FootnoteReference"/>
          <w:sz w:val="20"/>
          <w:szCs w:val="20"/>
        </w:rPr>
        <w:footnoteRef/>
      </w:r>
      <w:r w:rsidRPr="00FD1023">
        <w:rPr>
          <w:sz w:val="20"/>
          <w:szCs w:val="20"/>
        </w:rPr>
        <w:t xml:space="preserve"> </w:t>
      </w:r>
      <w:r w:rsidRPr="00FD1023">
        <w:rPr>
          <w:spacing w:val="-4"/>
          <w:sz w:val="20"/>
          <w:szCs w:val="20"/>
          <w:lang w:val="en-US"/>
        </w:rPr>
        <w:t>Gồm: 304 TTHC, 20 chế độ báo cáo, 02 yêu cầu điệu kiện, 146 tiêu chuẩn, quy chuẩn.</w:t>
      </w:r>
    </w:p>
  </w:footnote>
  <w:footnote w:id="16">
    <w:p w14:paraId="175DE443" w14:textId="099A7F75" w:rsidR="00447085" w:rsidRPr="00FD1023" w:rsidRDefault="00447085" w:rsidP="00A26449">
      <w:pPr>
        <w:pStyle w:val="FootnoteText"/>
        <w:spacing w:after="20"/>
        <w:jc w:val="both"/>
        <w:rPr>
          <w:sz w:val="20"/>
          <w:szCs w:val="20"/>
          <w:lang w:val="en-US"/>
        </w:rPr>
      </w:pPr>
      <w:r w:rsidRPr="00FD1023">
        <w:rPr>
          <w:rStyle w:val="FootnoteReference"/>
          <w:sz w:val="20"/>
          <w:szCs w:val="20"/>
        </w:rPr>
        <w:footnoteRef/>
      </w:r>
      <w:r w:rsidRPr="00FD1023">
        <w:rPr>
          <w:sz w:val="20"/>
          <w:szCs w:val="20"/>
        </w:rPr>
        <w:t xml:space="preserve"> </w:t>
      </w:r>
      <w:r w:rsidRPr="00FD1023">
        <w:rPr>
          <w:sz w:val="20"/>
          <w:szCs w:val="20"/>
          <w:lang w:val="en-US"/>
        </w:rPr>
        <w:t xml:space="preserve">Mục tiêu tại Nghị quyết số 68/NQ-CP: Từ năm 2020 - 2025, cắt giảm, đơn giản hóa ít nhất 20% số quy định và cắt giảm ít nhất 20% chi phí tuân thủ quy định liên quan đến hoạt động kinh doanh tại các văn bản đang có hiệu lực thi hành </w:t>
      </w:r>
      <w:r w:rsidRPr="00FD1023">
        <w:rPr>
          <w:sz w:val="20"/>
          <w:szCs w:val="20"/>
        </w:rPr>
        <w:t>tính đến hết ngày 31/5/2020</w:t>
      </w:r>
      <w:r w:rsidRPr="00FD1023">
        <w:rPr>
          <w:sz w:val="20"/>
          <w:szCs w:val="20"/>
          <w:lang w:val="en-US"/>
        </w:rPr>
        <w:t>.</w:t>
      </w:r>
    </w:p>
  </w:footnote>
  <w:footnote w:id="17">
    <w:p w14:paraId="74EFE421" w14:textId="77777777" w:rsidR="00447085" w:rsidRPr="0075154F" w:rsidRDefault="00447085" w:rsidP="00FD1023">
      <w:pPr>
        <w:pStyle w:val="FootnoteText"/>
        <w:jc w:val="both"/>
        <w:rPr>
          <w:sz w:val="20"/>
          <w:szCs w:val="20"/>
          <w:lang w:val="en-US"/>
        </w:rPr>
      </w:pPr>
      <w:r w:rsidRPr="0075154F">
        <w:rPr>
          <w:rStyle w:val="FootnoteReference"/>
          <w:sz w:val="20"/>
          <w:szCs w:val="20"/>
        </w:rPr>
        <w:footnoteRef/>
      </w:r>
      <w:r w:rsidRPr="0075154F">
        <w:rPr>
          <w:sz w:val="20"/>
          <w:szCs w:val="20"/>
        </w:rPr>
        <w:t xml:space="preserve"> Gồm: 15 Nghị định, 03 Quyết định của Thủ tướng Chính phủ và 09 Thông tư.</w:t>
      </w:r>
    </w:p>
  </w:footnote>
  <w:footnote w:id="18">
    <w:p w14:paraId="65AB8976" w14:textId="5AEEE17A" w:rsidR="00447085" w:rsidRPr="00034B39" w:rsidRDefault="00447085" w:rsidP="00034B39">
      <w:pPr>
        <w:pStyle w:val="FootnoteText"/>
        <w:jc w:val="both"/>
        <w:rPr>
          <w:sz w:val="20"/>
          <w:szCs w:val="20"/>
          <w:lang w:val="en-US"/>
        </w:rPr>
      </w:pPr>
      <w:r w:rsidRPr="00034B39">
        <w:rPr>
          <w:rStyle w:val="FootnoteReference"/>
          <w:sz w:val="20"/>
          <w:szCs w:val="20"/>
        </w:rPr>
        <w:footnoteRef/>
      </w:r>
      <w:r w:rsidRPr="00034B39">
        <w:rPr>
          <w:sz w:val="20"/>
          <w:szCs w:val="20"/>
        </w:rPr>
        <w:t xml:space="preserve"> </w:t>
      </w:r>
      <w:r w:rsidRPr="00034B39">
        <w:rPr>
          <w:spacing w:val="-4"/>
          <w:sz w:val="20"/>
          <w:szCs w:val="20"/>
        </w:rPr>
        <w:t>Bên cạnh đó, ngoài</w:t>
      </w:r>
      <w:r>
        <w:rPr>
          <w:spacing w:val="-4"/>
          <w:sz w:val="20"/>
          <w:szCs w:val="20"/>
        </w:rPr>
        <w:t xml:space="preserve"> nhiệm vụ được giao</w:t>
      </w:r>
      <w:r w:rsidRPr="00034B39">
        <w:rPr>
          <w:spacing w:val="-4"/>
          <w:sz w:val="20"/>
          <w:szCs w:val="20"/>
        </w:rPr>
        <w:t xml:space="preserve"> </w:t>
      </w:r>
      <w:r>
        <w:rPr>
          <w:spacing w:val="-4"/>
          <w:sz w:val="20"/>
          <w:szCs w:val="20"/>
        </w:rPr>
        <w:t xml:space="preserve">theo </w:t>
      </w:r>
      <w:r w:rsidRPr="00034B39">
        <w:rPr>
          <w:spacing w:val="-4"/>
          <w:sz w:val="20"/>
          <w:szCs w:val="20"/>
        </w:rPr>
        <w:t>Quyết định số 1015/QĐ-TTg</w:t>
      </w:r>
      <w:r>
        <w:rPr>
          <w:spacing w:val="-4"/>
          <w:sz w:val="20"/>
          <w:szCs w:val="20"/>
        </w:rPr>
        <w:t xml:space="preserve">, </w:t>
      </w:r>
      <w:r w:rsidRPr="00034B39">
        <w:rPr>
          <w:spacing w:val="-4"/>
          <w:sz w:val="20"/>
          <w:szCs w:val="20"/>
        </w:rPr>
        <w:t xml:space="preserve">Bộ Xây dựng, Bộ Y tế </w:t>
      </w:r>
      <w:r>
        <w:rPr>
          <w:spacing w:val="-4"/>
          <w:sz w:val="20"/>
          <w:szCs w:val="20"/>
        </w:rPr>
        <w:t xml:space="preserve">đã </w:t>
      </w:r>
      <w:r w:rsidRPr="00034B39">
        <w:rPr>
          <w:spacing w:val="-4"/>
          <w:sz w:val="20"/>
          <w:szCs w:val="20"/>
        </w:rPr>
        <w:t xml:space="preserve">chủ động phân cấp </w:t>
      </w:r>
      <w:r>
        <w:rPr>
          <w:spacing w:val="-4"/>
          <w:sz w:val="20"/>
          <w:szCs w:val="20"/>
        </w:rPr>
        <w:t xml:space="preserve">thêm </w:t>
      </w:r>
      <w:r w:rsidRPr="00034B39">
        <w:rPr>
          <w:spacing w:val="-4"/>
          <w:sz w:val="20"/>
          <w:szCs w:val="20"/>
        </w:rPr>
        <w:t>03 TTHC, nâng tổng số TTHC được phân cấp l</w:t>
      </w:r>
      <w:r>
        <w:rPr>
          <w:spacing w:val="-4"/>
          <w:sz w:val="20"/>
          <w:szCs w:val="20"/>
        </w:rPr>
        <w:t>à</w:t>
      </w:r>
      <w:r w:rsidRPr="00034B39">
        <w:rPr>
          <w:spacing w:val="-4"/>
          <w:sz w:val="20"/>
          <w:szCs w:val="20"/>
        </w:rPr>
        <w:t xml:space="preserve"> 156 TTHC.</w:t>
      </w:r>
    </w:p>
  </w:footnote>
  <w:footnote w:id="19">
    <w:p w14:paraId="320FBF4C" w14:textId="77777777" w:rsidR="00447085" w:rsidRPr="0075154F" w:rsidRDefault="00447085" w:rsidP="00FD1023">
      <w:pPr>
        <w:pStyle w:val="FootnoteText"/>
        <w:jc w:val="both"/>
        <w:rPr>
          <w:sz w:val="20"/>
          <w:szCs w:val="20"/>
          <w:lang w:val="en-US"/>
        </w:rPr>
      </w:pPr>
      <w:r w:rsidRPr="00034B39">
        <w:rPr>
          <w:rStyle w:val="FootnoteReference"/>
          <w:sz w:val="20"/>
          <w:szCs w:val="20"/>
        </w:rPr>
        <w:footnoteRef/>
      </w:r>
      <w:r w:rsidRPr="00034B39">
        <w:rPr>
          <w:sz w:val="20"/>
          <w:szCs w:val="20"/>
        </w:rPr>
        <w:t xml:space="preserve"> 03 cơ quan gồm</w:t>
      </w:r>
      <w:r w:rsidRPr="0075154F">
        <w:rPr>
          <w:sz w:val="20"/>
          <w:szCs w:val="20"/>
        </w:rPr>
        <w:t>: Ngân hàng Nhà nước Việt Nam, Thanh tra Chính phủ, Ủy ban dân tộc.</w:t>
      </w:r>
    </w:p>
  </w:footnote>
  <w:footnote w:id="20">
    <w:p w14:paraId="212AA373" w14:textId="25F73957" w:rsidR="00447085" w:rsidRPr="0075154F" w:rsidRDefault="00447085" w:rsidP="00FD1023">
      <w:pPr>
        <w:pStyle w:val="FootnoteText"/>
        <w:jc w:val="both"/>
        <w:rPr>
          <w:sz w:val="20"/>
          <w:szCs w:val="20"/>
          <w:lang w:val="en-US"/>
        </w:rPr>
      </w:pPr>
      <w:r w:rsidRPr="0075154F">
        <w:rPr>
          <w:rStyle w:val="FootnoteReference"/>
          <w:sz w:val="20"/>
          <w:szCs w:val="20"/>
        </w:rPr>
        <w:footnoteRef/>
      </w:r>
      <w:r w:rsidRPr="0075154F">
        <w:rPr>
          <w:sz w:val="20"/>
          <w:szCs w:val="20"/>
        </w:rPr>
        <w:t xml:space="preserve"> </w:t>
      </w:r>
      <w:r w:rsidRPr="0075154F">
        <w:rPr>
          <w:sz w:val="20"/>
          <w:szCs w:val="20"/>
          <w:lang w:val="en-US"/>
        </w:rPr>
        <w:t>Gồm: Bộ G</w:t>
      </w:r>
      <w:r>
        <w:rPr>
          <w:sz w:val="20"/>
          <w:szCs w:val="20"/>
          <w:lang w:val="en-US"/>
        </w:rPr>
        <w:t xml:space="preserve">iao thông vận tải, </w:t>
      </w:r>
      <w:r w:rsidRPr="0075154F">
        <w:rPr>
          <w:sz w:val="20"/>
          <w:szCs w:val="20"/>
          <w:lang w:val="en-US"/>
        </w:rPr>
        <w:t>Bộ L</w:t>
      </w:r>
      <w:r>
        <w:rPr>
          <w:sz w:val="20"/>
          <w:szCs w:val="20"/>
          <w:lang w:val="en-US"/>
        </w:rPr>
        <w:t xml:space="preserve">ao động - Thương binh </w:t>
      </w:r>
      <w:r w:rsidRPr="0075154F">
        <w:rPr>
          <w:sz w:val="20"/>
          <w:szCs w:val="20"/>
          <w:lang w:val="en-US"/>
        </w:rPr>
        <w:t>và X</w:t>
      </w:r>
      <w:r>
        <w:rPr>
          <w:sz w:val="20"/>
          <w:szCs w:val="20"/>
          <w:lang w:val="en-US"/>
        </w:rPr>
        <w:t>ã hội</w:t>
      </w:r>
      <w:r w:rsidRPr="0075154F">
        <w:rPr>
          <w:sz w:val="20"/>
          <w:szCs w:val="20"/>
          <w:lang w:val="en-US"/>
        </w:rPr>
        <w:t>.</w:t>
      </w:r>
    </w:p>
  </w:footnote>
  <w:footnote w:id="21">
    <w:p w14:paraId="7BCD2846" w14:textId="77777777" w:rsidR="00447085" w:rsidRPr="00D85505" w:rsidRDefault="00447085" w:rsidP="00FD1023">
      <w:pPr>
        <w:pStyle w:val="FootnoteText"/>
        <w:jc w:val="both"/>
        <w:rPr>
          <w:sz w:val="20"/>
          <w:szCs w:val="20"/>
          <w:lang w:val="en-US"/>
        </w:rPr>
      </w:pPr>
      <w:r w:rsidRPr="00D85505">
        <w:rPr>
          <w:rStyle w:val="FootnoteReference"/>
          <w:sz w:val="20"/>
          <w:szCs w:val="20"/>
        </w:rPr>
        <w:footnoteRef/>
      </w:r>
      <w:r w:rsidRPr="00D85505">
        <w:rPr>
          <w:sz w:val="20"/>
          <w:szCs w:val="20"/>
        </w:rPr>
        <w:t xml:space="preserve"> </w:t>
      </w:r>
      <w:r w:rsidRPr="00D85505">
        <w:rPr>
          <w:sz w:val="20"/>
          <w:szCs w:val="20"/>
          <w:lang w:val="en-US"/>
        </w:rPr>
        <w:t>06 bộ gồm: Công Thương, Khoa học và Công nghệ, Ngoại giao, Nội vụ, Tài chính, Tư pháp.</w:t>
      </w:r>
    </w:p>
  </w:footnote>
  <w:footnote w:id="22">
    <w:p w14:paraId="1E81E4B8" w14:textId="77777777" w:rsidR="00FE01C0" w:rsidRPr="007B695F" w:rsidRDefault="00FE01C0" w:rsidP="00FE01C0">
      <w:pPr>
        <w:pStyle w:val="FootnoteText"/>
        <w:rPr>
          <w:sz w:val="20"/>
          <w:szCs w:val="20"/>
          <w:lang w:val="en-US"/>
        </w:rPr>
      </w:pPr>
      <w:r w:rsidRPr="007B695F">
        <w:rPr>
          <w:rStyle w:val="FootnoteReference"/>
          <w:sz w:val="20"/>
          <w:szCs w:val="20"/>
        </w:rPr>
        <w:footnoteRef/>
      </w:r>
      <w:r w:rsidRPr="007B695F">
        <w:rPr>
          <w:sz w:val="20"/>
          <w:szCs w:val="20"/>
        </w:rPr>
        <w:t xml:space="preserve"> </w:t>
      </w:r>
      <w:r w:rsidRPr="007B695F">
        <w:rPr>
          <w:sz w:val="20"/>
          <w:szCs w:val="20"/>
          <w:lang w:val="vi-VN"/>
        </w:rPr>
        <w:t>Công văn số 100/TCTCCTTHC ngày</w:t>
      </w:r>
      <w:r w:rsidRPr="007B695F">
        <w:rPr>
          <w:sz w:val="20"/>
          <w:szCs w:val="20"/>
          <w:lang w:val="en-US"/>
        </w:rPr>
        <w:t xml:space="preserve"> 14</w:t>
      </w:r>
      <w:r>
        <w:rPr>
          <w:sz w:val="20"/>
          <w:szCs w:val="20"/>
          <w:lang w:val="en-US"/>
        </w:rPr>
        <w:t>/</w:t>
      </w:r>
      <w:r w:rsidRPr="007B695F">
        <w:rPr>
          <w:sz w:val="20"/>
          <w:szCs w:val="20"/>
          <w:lang w:val="en-US"/>
        </w:rPr>
        <w:t>11</w:t>
      </w:r>
      <w:r>
        <w:rPr>
          <w:sz w:val="20"/>
          <w:szCs w:val="20"/>
          <w:lang w:val="en-US"/>
        </w:rPr>
        <w:t>/</w:t>
      </w:r>
      <w:r w:rsidRPr="007B695F">
        <w:rPr>
          <w:sz w:val="20"/>
          <w:szCs w:val="20"/>
          <w:lang w:val="en-US"/>
        </w:rPr>
        <w:t>2023.</w:t>
      </w:r>
    </w:p>
  </w:footnote>
  <w:footnote w:id="23">
    <w:p w14:paraId="209F2923" w14:textId="77777777" w:rsidR="00447085" w:rsidRPr="0075154F" w:rsidRDefault="00447085" w:rsidP="00FD1023">
      <w:pPr>
        <w:pStyle w:val="FootnoteText"/>
        <w:jc w:val="both"/>
        <w:rPr>
          <w:sz w:val="20"/>
          <w:szCs w:val="20"/>
          <w:lang w:val="en-US"/>
        </w:rPr>
      </w:pPr>
      <w:r w:rsidRPr="0075154F">
        <w:rPr>
          <w:rStyle w:val="FootnoteReference"/>
          <w:sz w:val="20"/>
          <w:szCs w:val="20"/>
        </w:rPr>
        <w:footnoteRef/>
      </w:r>
      <w:r w:rsidRPr="0075154F">
        <w:rPr>
          <w:sz w:val="20"/>
          <w:szCs w:val="20"/>
        </w:rPr>
        <w:t xml:space="preserve"> </w:t>
      </w:r>
      <w:r w:rsidRPr="0075154F">
        <w:rPr>
          <w:sz w:val="20"/>
          <w:szCs w:val="20"/>
          <w:lang w:val="en-US"/>
        </w:rPr>
        <w:t>05 bộ, ngành gồm: Công an, Khoa học và Công nghệ, Nông nghiệp và Phát triển nông thôn, Xây dựng, Bảo hiểm Xã hội Việt Nam</w:t>
      </w:r>
    </w:p>
  </w:footnote>
  <w:footnote w:id="24">
    <w:p w14:paraId="14F9E881" w14:textId="77777777" w:rsidR="00447085" w:rsidRPr="0075154F" w:rsidRDefault="00447085" w:rsidP="00FD1023">
      <w:pPr>
        <w:pStyle w:val="FootnoteText"/>
        <w:jc w:val="both"/>
        <w:rPr>
          <w:spacing w:val="-10"/>
          <w:sz w:val="20"/>
          <w:szCs w:val="20"/>
          <w:lang w:val="en-US"/>
        </w:rPr>
      </w:pPr>
      <w:r w:rsidRPr="0075154F">
        <w:rPr>
          <w:rStyle w:val="FootnoteReference"/>
          <w:spacing w:val="-10"/>
          <w:sz w:val="20"/>
          <w:szCs w:val="20"/>
        </w:rPr>
        <w:footnoteRef/>
      </w:r>
      <w:r w:rsidRPr="0075154F">
        <w:rPr>
          <w:spacing w:val="-10"/>
          <w:sz w:val="20"/>
          <w:szCs w:val="20"/>
        </w:rPr>
        <w:t xml:space="preserve"> </w:t>
      </w:r>
      <w:r w:rsidRPr="0075154F">
        <w:rPr>
          <w:sz w:val="20"/>
          <w:szCs w:val="20"/>
          <w:lang w:val="en-US"/>
        </w:rPr>
        <w:t>06 bộ gồm: Lao động - Thương binh và Xã hội, Giáo dục và Đào tạo, Tài nguyên và Môi trường, Công Thương, Quốc phòng, Giao thông vận tải.</w:t>
      </w:r>
    </w:p>
  </w:footnote>
  <w:footnote w:id="25">
    <w:p w14:paraId="52594699" w14:textId="77777777" w:rsidR="00447085" w:rsidRPr="0075154F" w:rsidRDefault="00447085" w:rsidP="00FD1023">
      <w:pPr>
        <w:pStyle w:val="FootnoteText"/>
        <w:jc w:val="both"/>
        <w:rPr>
          <w:sz w:val="20"/>
          <w:szCs w:val="20"/>
          <w:lang w:val="en-US"/>
        </w:rPr>
      </w:pPr>
      <w:r w:rsidRPr="0075154F">
        <w:rPr>
          <w:rStyle w:val="FootnoteReference"/>
          <w:sz w:val="20"/>
          <w:szCs w:val="20"/>
        </w:rPr>
        <w:footnoteRef/>
      </w:r>
      <w:r w:rsidRPr="0075154F">
        <w:rPr>
          <w:sz w:val="20"/>
          <w:szCs w:val="20"/>
        </w:rPr>
        <w:t xml:space="preserve"> </w:t>
      </w:r>
      <w:r w:rsidRPr="0075154F">
        <w:rPr>
          <w:sz w:val="20"/>
          <w:szCs w:val="20"/>
          <w:lang w:val="en-US"/>
        </w:rPr>
        <w:t>Ngân hàng Nhà nước Việt Nam</w:t>
      </w:r>
    </w:p>
  </w:footnote>
  <w:footnote w:id="26">
    <w:p w14:paraId="45F63C17" w14:textId="185F8378" w:rsidR="00447085" w:rsidRPr="0075154F" w:rsidRDefault="00447085" w:rsidP="00FD1023">
      <w:pPr>
        <w:pStyle w:val="FootnoteText"/>
        <w:jc w:val="both"/>
        <w:rPr>
          <w:sz w:val="20"/>
          <w:szCs w:val="20"/>
          <w:lang w:val="en-US"/>
        </w:rPr>
      </w:pPr>
      <w:r w:rsidRPr="0075154F">
        <w:rPr>
          <w:rStyle w:val="FootnoteReference"/>
          <w:sz w:val="20"/>
          <w:szCs w:val="20"/>
        </w:rPr>
        <w:footnoteRef/>
      </w:r>
      <w:r w:rsidRPr="0075154F">
        <w:rPr>
          <w:sz w:val="20"/>
          <w:szCs w:val="20"/>
        </w:rPr>
        <w:t xml:space="preserve"> </w:t>
      </w:r>
      <w:r w:rsidRPr="0075154F">
        <w:rPr>
          <w:spacing w:val="-6"/>
          <w:sz w:val="20"/>
          <w:szCs w:val="20"/>
        </w:rPr>
        <w:t xml:space="preserve">Gồm: </w:t>
      </w:r>
      <w:r w:rsidRPr="0075154F">
        <w:rPr>
          <w:sz w:val="20"/>
          <w:szCs w:val="20"/>
        </w:rPr>
        <w:t>02 Luật, 32 Nghị định, 01 Quyết định của TTgCP và 76 Thông tư, Thông tư liên tịch</w:t>
      </w:r>
      <w:r>
        <w:rPr>
          <w:sz w:val="20"/>
          <w:szCs w:val="20"/>
        </w:rPr>
        <w:t>.</w:t>
      </w:r>
    </w:p>
  </w:footnote>
  <w:footnote w:id="27">
    <w:p w14:paraId="0CAEDB55" w14:textId="2AD45A16" w:rsidR="00447085" w:rsidRPr="0075154F" w:rsidRDefault="00447085" w:rsidP="00A26449">
      <w:pPr>
        <w:pStyle w:val="FootnoteText"/>
        <w:spacing w:after="20"/>
        <w:jc w:val="both"/>
        <w:rPr>
          <w:sz w:val="20"/>
          <w:szCs w:val="20"/>
        </w:rPr>
      </w:pPr>
      <w:r w:rsidRPr="0075154F">
        <w:rPr>
          <w:rStyle w:val="FootnoteReference"/>
          <w:sz w:val="20"/>
          <w:szCs w:val="20"/>
        </w:rPr>
        <w:footnoteRef/>
      </w:r>
      <w:r w:rsidRPr="0075154F">
        <w:rPr>
          <w:sz w:val="20"/>
          <w:szCs w:val="20"/>
        </w:rPr>
        <w:t xml:space="preserve"> Theo </w:t>
      </w:r>
      <w:r w:rsidRPr="0075154F">
        <w:rPr>
          <w:sz w:val="20"/>
          <w:szCs w:val="20"/>
          <w:lang w:val="en-US"/>
        </w:rPr>
        <w:t>Bộ chỉ số chỉ đạo, điều hành và đánh giá chất lượng phục vụ người dân, doanh nghiệp trong thực hiện TTHC, trên Cổng Dịch vụ công quốc gia tại thời điểm ngày 25/12/2023.</w:t>
      </w:r>
    </w:p>
  </w:footnote>
  <w:footnote w:id="28">
    <w:p w14:paraId="3373BFAA" w14:textId="77777777" w:rsidR="00447085" w:rsidRPr="00E7708F" w:rsidRDefault="00447085" w:rsidP="00562A39">
      <w:pPr>
        <w:shd w:val="clear" w:color="auto" w:fill="FFFFFF"/>
        <w:spacing w:after="20"/>
        <w:jc w:val="both"/>
        <w:rPr>
          <w:color w:val="000000"/>
          <w:spacing w:val="-2"/>
          <w:sz w:val="20"/>
          <w:szCs w:val="20"/>
        </w:rPr>
      </w:pPr>
      <w:r w:rsidRPr="00E7708F">
        <w:rPr>
          <w:rStyle w:val="FootnoteReference"/>
          <w:sz w:val="20"/>
          <w:szCs w:val="20"/>
        </w:rPr>
        <w:footnoteRef/>
      </w:r>
      <w:r w:rsidRPr="00E7708F">
        <w:rPr>
          <w:sz w:val="20"/>
          <w:szCs w:val="20"/>
        </w:rPr>
        <w:t xml:space="preserve"> </w:t>
      </w:r>
      <w:r w:rsidRPr="00E7708F">
        <w:rPr>
          <w:spacing w:val="-2"/>
          <w:sz w:val="20"/>
          <w:szCs w:val="20"/>
        </w:rPr>
        <w:t xml:space="preserve">Như: </w:t>
      </w:r>
      <w:r w:rsidRPr="00E7708F">
        <w:rPr>
          <w:color w:val="000000"/>
          <w:spacing w:val="-2"/>
          <w:sz w:val="20"/>
          <w:szCs w:val="20"/>
        </w:rPr>
        <w:t>(1) Tỉnh Lâm Đồng đã thực hiện thí điểm việc tổ chức BPMC theo hướng thu gọn đầu mối, đưa BPMC của UBND phường 4 vào hoạt động tại TTPVHCC tỉnh để tiếp nhận và giải quyết 165 TTHC cấp xã trên địa bàn, theo đó đã tiết kiệm chi phí đầu tư trụ sở, xây dựng, duy trì hệ thống CNTT tại BPMC; (2) Tỉnh Yên Bái đã nghiên cứu, xây dựng dự thảo Đề án thí điểm về sắp xếp, ghép Bộ phận PVHCC thành phố và UBND phường Đồng Tâm vào Trung tâm PVHCC tỉnh; ghép Bộ phận PVHCC phường Tân An vào Bộ phận PVHCC thị xã Nghĩa Lộ; ghép Bộ phận PVHCC thị trấn Mậu A vào Bộ phận PVHCC huyện Văn Yên và thực hiện cơ chế giao doanh nghiệp cung ứng dịch vụ BCCI đảm nhận việc hướng dẫn, tiếp nhận, số hoá hồ sơ, trả kết quả giải quyết TTHC; (3) Thành phố Hà Nội đang trong quá trình hoàn thiện đề án đổi mới BPMC, trong đó có nội dung tổ chức BPMC theo khu vực;….</w:t>
      </w:r>
    </w:p>
  </w:footnote>
  <w:footnote w:id="29">
    <w:p w14:paraId="15E10A02" w14:textId="33540797" w:rsidR="00447085" w:rsidRPr="006C2F36" w:rsidRDefault="00447085" w:rsidP="007D080B">
      <w:pPr>
        <w:pStyle w:val="FootnoteText"/>
        <w:jc w:val="both"/>
        <w:rPr>
          <w:sz w:val="20"/>
          <w:szCs w:val="20"/>
        </w:rPr>
      </w:pPr>
      <w:r w:rsidRPr="006C2F36">
        <w:rPr>
          <w:rStyle w:val="FootnoteReference"/>
          <w:sz w:val="20"/>
          <w:szCs w:val="20"/>
        </w:rPr>
        <w:footnoteRef/>
      </w:r>
      <w:r w:rsidRPr="006C2F36">
        <w:rPr>
          <w:sz w:val="20"/>
          <w:szCs w:val="20"/>
        </w:rPr>
        <w:t xml:space="preserve"> Như: </w:t>
      </w:r>
      <w:r w:rsidRPr="007D080B">
        <w:rPr>
          <w:sz w:val="20"/>
          <w:szCs w:val="20"/>
        </w:rPr>
        <w:t>Tỷ lệ cung cấp dịch vụ công trực tuyến toàn trình</w:t>
      </w:r>
      <w:r>
        <w:rPr>
          <w:sz w:val="20"/>
          <w:szCs w:val="20"/>
        </w:rPr>
        <w:t xml:space="preserve">; tỷ lệ </w:t>
      </w:r>
      <w:r w:rsidRPr="006C2F36">
        <w:rPr>
          <w:sz w:val="20"/>
          <w:szCs w:val="20"/>
        </w:rPr>
        <w:t>TTHC có yêu cầu nghĩa vụ tài chính được thanh toán trực tuyến</w:t>
      </w:r>
      <w:r>
        <w:rPr>
          <w:sz w:val="20"/>
          <w:szCs w:val="20"/>
        </w:rPr>
        <w:t xml:space="preserve"> trên Cổng DVCQG.</w:t>
      </w:r>
    </w:p>
  </w:footnote>
  <w:footnote w:id="30">
    <w:p w14:paraId="7549BE86" w14:textId="23DFB885" w:rsidR="00447085" w:rsidRPr="006C2F36" w:rsidRDefault="00447085" w:rsidP="006C2F36">
      <w:pPr>
        <w:pStyle w:val="FootnoteText"/>
        <w:spacing w:after="20"/>
        <w:jc w:val="both"/>
        <w:rPr>
          <w:spacing w:val="-4"/>
          <w:sz w:val="20"/>
          <w:szCs w:val="20"/>
        </w:rPr>
      </w:pPr>
      <w:r w:rsidRPr="006C2F36">
        <w:rPr>
          <w:rStyle w:val="FootnoteReference"/>
          <w:sz w:val="20"/>
          <w:szCs w:val="20"/>
        </w:rPr>
        <w:footnoteRef/>
      </w:r>
      <w:r w:rsidRPr="006C2F36">
        <w:rPr>
          <w:sz w:val="20"/>
          <w:szCs w:val="20"/>
        </w:rPr>
        <w:t xml:space="preserve"> </w:t>
      </w:r>
      <w:r w:rsidRPr="006C2F36">
        <w:rPr>
          <w:spacing w:val="-4"/>
          <w:sz w:val="20"/>
          <w:szCs w:val="20"/>
        </w:rPr>
        <w:t>Theo Báo cáo môi trường kinh doanh toàn cầu tháng 5/2023 của Economist Intelligence Unit (EIU): Xếp hạng môi trường kinh doanh Việt Nam tăng 12 bậc.</w:t>
      </w:r>
    </w:p>
  </w:footnote>
  <w:footnote w:id="31">
    <w:p w14:paraId="291F05AE" w14:textId="3BF98071" w:rsidR="00447085" w:rsidRPr="006C2F36" w:rsidRDefault="00447085" w:rsidP="006C2F36">
      <w:pPr>
        <w:pStyle w:val="FootnoteText"/>
        <w:spacing w:after="20"/>
        <w:jc w:val="both"/>
        <w:rPr>
          <w:sz w:val="20"/>
          <w:szCs w:val="20"/>
        </w:rPr>
      </w:pPr>
      <w:r w:rsidRPr="006C2F36">
        <w:rPr>
          <w:rStyle w:val="FootnoteReference"/>
          <w:sz w:val="20"/>
          <w:szCs w:val="20"/>
        </w:rPr>
        <w:footnoteRef/>
      </w:r>
      <w:r w:rsidRPr="006C2F36">
        <w:rPr>
          <w:sz w:val="20"/>
          <w:szCs w:val="20"/>
        </w:rPr>
        <w:t xml:space="preserve"> Việc thực hiện 38/53 dịch vụ công thiết yếu hàng năm đã tiết kiệm chi phí thực hiện 2.505 tỷ đồng</w:t>
      </w:r>
      <w:r>
        <w:rPr>
          <w:sz w:val="20"/>
          <w:szCs w:val="20"/>
        </w:rPr>
        <w:t>.</w:t>
      </w:r>
    </w:p>
  </w:footnote>
  <w:footnote w:id="32">
    <w:p w14:paraId="3BBAD013" w14:textId="77777777" w:rsidR="00447085" w:rsidRPr="0075154F" w:rsidRDefault="00447085" w:rsidP="00A26449">
      <w:pPr>
        <w:pStyle w:val="FootnoteText"/>
        <w:spacing w:after="20"/>
        <w:jc w:val="both"/>
        <w:rPr>
          <w:sz w:val="20"/>
          <w:szCs w:val="20"/>
          <w:lang w:val="en-US"/>
        </w:rPr>
      </w:pPr>
      <w:r w:rsidRPr="0075154F">
        <w:rPr>
          <w:rStyle w:val="FootnoteReference"/>
          <w:sz w:val="20"/>
          <w:szCs w:val="20"/>
        </w:rPr>
        <w:footnoteRef/>
      </w:r>
      <w:r w:rsidRPr="0075154F">
        <w:rPr>
          <w:sz w:val="20"/>
          <w:szCs w:val="20"/>
        </w:rPr>
        <w:t xml:space="preserve"> </w:t>
      </w:r>
      <w:r w:rsidRPr="0075154F">
        <w:rPr>
          <w:bCs/>
          <w:iCs/>
          <w:sz w:val="20"/>
          <w:szCs w:val="20"/>
          <w:lang w:val="en-US"/>
        </w:rPr>
        <w:t>03 bộ gồm: Công Thương, Tư pháp, Tài chính.</w:t>
      </w:r>
    </w:p>
  </w:footnote>
  <w:footnote w:id="33">
    <w:p w14:paraId="08CD4EE2" w14:textId="75012255" w:rsidR="00447085" w:rsidRPr="00DC15D4" w:rsidRDefault="00447085" w:rsidP="00DC15D4">
      <w:pPr>
        <w:pStyle w:val="FootnoteText"/>
        <w:jc w:val="both"/>
        <w:rPr>
          <w:sz w:val="20"/>
          <w:szCs w:val="20"/>
          <w:lang w:val="en-US"/>
        </w:rPr>
      </w:pPr>
      <w:r w:rsidRPr="00DC15D4">
        <w:rPr>
          <w:rStyle w:val="FootnoteReference"/>
          <w:sz w:val="20"/>
          <w:szCs w:val="20"/>
        </w:rPr>
        <w:footnoteRef/>
      </w:r>
      <w:r w:rsidRPr="00DC15D4">
        <w:rPr>
          <w:sz w:val="20"/>
          <w:szCs w:val="20"/>
        </w:rPr>
        <w:t xml:space="preserve"> </w:t>
      </w:r>
      <w:r w:rsidRPr="00DC15D4">
        <w:rPr>
          <w:sz w:val="20"/>
          <w:szCs w:val="20"/>
          <w:lang w:val="en-US"/>
        </w:rPr>
        <w:t xml:space="preserve">Ví dụ: Nghị định số </w:t>
      </w:r>
      <w:hyperlink r:id="rId3" w:tgtFrame="_blank" w:tooltip="Nghị định 79/2023/NĐ-CP" w:history="1">
        <w:r w:rsidRPr="00DC15D4">
          <w:rPr>
            <w:rStyle w:val="Hyperlink"/>
            <w:color w:val="auto"/>
            <w:sz w:val="20"/>
            <w:szCs w:val="20"/>
            <w:u w:val="none"/>
            <w:shd w:val="clear" w:color="auto" w:fill="FFFFFF"/>
          </w:rPr>
          <w:t>79/2023/NĐ-CP</w:t>
        </w:r>
      </w:hyperlink>
      <w:r w:rsidRPr="00DC15D4">
        <w:rPr>
          <w:rStyle w:val="Hyperlink"/>
          <w:color w:val="auto"/>
          <w:sz w:val="20"/>
          <w:szCs w:val="20"/>
          <w:u w:val="none"/>
          <w:shd w:val="clear" w:color="auto" w:fill="FFFFFF"/>
        </w:rPr>
        <w:t xml:space="preserve"> (Bộ Nông nghiệp và P</w:t>
      </w:r>
      <w:r w:rsidR="005875BD">
        <w:rPr>
          <w:rStyle w:val="Hyperlink"/>
          <w:color w:val="auto"/>
          <w:sz w:val="20"/>
          <w:szCs w:val="20"/>
          <w:u w:val="none"/>
          <w:shd w:val="clear" w:color="auto" w:fill="FFFFFF"/>
        </w:rPr>
        <w:t>TNT</w:t>
      </w:r>
      <w:r w:rsidRPr="00DC15D4">
        <w:rPr>
          <w:rStyle w:val="Hyperlink"/>
          <w:color w:val="auto"/>
          <w:sz w:val="20"/>
          <w:szCs w:val="20"/>
          <w:u w:val="none"/>
          <w:shd w:val="clear" w:color="auto" w:fill="FFFFFF"/>
        </w:rPr>
        <w:t>)</w:t>
      </w:r>
      <w:r w:rsidRPr="00DC15D4">
        <w:rPr>
          <w:sz w:val="20"/>
          <w:szCs w:val="20"/>
        </w:rPr>
        <w:t xml:space="preserve">; Thông tư số </w:t>
      </w:r>
      <w:r w:rsidRPr="00DC15D4">
        <w:rPr>
          <w:sz w:val="20"/>
          <w:szCs w:val="20"/>
          <w:shd w:val="clear" w:color="auto" w:fill="FFFFFF"/>
        </w:rPr>
        <w:t>13/2023/TT-BVHTTDL (Bộ Văn hóa, T</w:t>
      </w:r>
      <w:r w:rsidR="005875BD">
        <w:rPr>
          <w:sz w:val="20"/>
          <w:szCs w:val="20"/>
          <w:shd w:val="clear" w:color="auto" w:fill="FFFFFF"/>
        </w:rPr>
        <w:t>T</w:t>
      </w:r>
      <w:r w:rsidRPr="00DC15D4">
        <w:rPr>
          <w:sz w:val="20"/>
          <w:szCs w:val="20"/>
          <w:shd w:val="clear" w:color="auto" w:fill="FFFFFF"/>
        </w:rPr>
        <w:t xml:space="preserve"> và D</w:t>
      </w:r>
      <w:r w:rsidR="005875BD">
        <w:rPr>
          <w:sz w:val="20"/>
          <w:szCs w:val="20"/>
          <w:shd w:val="clear" w:color="auto" w:fill="FFFFFF"/>
        </w:rPr>
        <w:t>L</w:t>
      </w:r>
      <w:r w:rsidRPr="00DC15D4">
        <w:rPr>
          <w:sz w:val="20"/>
          <w:szCs w:val="20"/>
          <w:shd w:val="clear" w:color="auto" w:fill="FFFFFF"/>
        </w:rPr>
        <w:t xml:space="preserve">); </w:t>
      </w:r>
      <w:r w:rsidR="005875BD">
        <w:rPr>
          <w:sz w:val="20"/>
          <w:szCs w:val="20"/>
          <w:shd w:val="clear" w:color="auto" w:fill="FFFFFF"/>
        </w:rPr>
        <w:t xml:space="preserve">các </w:t>
      </w:r>
      <w:r w:rsidRPr="00DC15D4">
        <w:rPr>
          <w:sz w:val="20"/>
          <w:szCs w:val="20"/>
          <w:shd w:val="clear" w:color="auto" w:fill="FFFFFF"/>
        </w:rPr>
        <w:t>Thông tư</w:t>
      </w:r>
      <w:r w:rsidR="005875BD">
        <w:rPr>
          <w:sz w:val="20"/>
          <w:szCs w:val="20"/>
          <w:shd w:val="clear" w:color="auto" w:fill="FFFFFF"/>
        </w:rPr>
        <w:t>:</w:t>
      </w:r>
      <w:r w:rsidRPr="00DC15D4">
        <w:rPr>
          <w:sz w:val="20"/>
          <w:szCs w:val="20"/>
          <w:shd w:val="clear" w:color="auto" w:fill="FFFFFF"/>
        </w:rPr>
        <w:t xml:space="preserve"> số 05/2023/TT-BGTVT</w:t>
      </w:r>
      <w:r w:rsidR="005875BD">
        <w:rPr>
          <w:sz w:val="20"/>
          <w:szCs w:val="20"/>
          <w:shd w:val="clear" w:color="auto" w:fill="FFFFFF"/>
        </w:rPr>
        <w:t>,</w:t>
      </w:r>
      <w:r w:rsidRPr="00DC15D4">
        <w:rPr>
          <w:sz w:val="20"/>
          <w:szCs w:val="20"/>
          <w:shd w:val="clear" w:color="auto" w:fill="FFFFFF"/>
        </w:rPr>
        <w:t xml:space="preserve"> số 06/2023/TT-BGTVT (Bộ Giao thông </w:t>
      </w:r>
      <w:r w:rsidR="005875BD">
        <w:rPr>
          <w:sz w:val="20"/>
          <w:szCs w:val="20"/>
          <w:shd w:val="clear" w:color="auto" w:fill="FFFFFF"/>
        </w:rPr>
        <w:t>vận tải</w:t>
      </w:r>
      <w:r w:rsidRPr="00DC15D4">
        <w:rPr>
          <w:sz w:val="20"/>
          <w:szCs w:val="20"/>
          <w:shd w:val="clear" w:color="auto" w:fill="FFFFFF"/>
        </w:rPr>
        <w:t>).</w:t>
      </w:r>
    </w:p>
  </w:footnote>
  <w:footnote w:id="34">
    <w:p w14:paraId="4757EFBF" w14:textId="77777777" w:rsidR="00447085" w:rsidRPr="00DC15D4" w:rsidRDefault="00447085" w:rsidP="00DC15D4">
      <w:pPr>
        <w:pStyle w:val="FootnoteText"/>
        <w:jc w:val="both"/>
        <w:rPr>
          <w:sz w:val="20"/>
          <w:szCs w:val="20"/>
          <w:lang w:val="en-US"/>
        </w:rPr>
      </w:pPr>
      <w:r w:rsidRPr="00DC15D4">
        <w:rPr>
          <w:rStyle w:val="FootnoteReference"/>
          <w:sz w:val="20"/>
          <w:szCs w:val="20"/>
        </w:rPr>
        <w:footnoteRef/>
      </w:r>
      <w:r w:rsidRPr="00DC15D4">
        <w:rPr>
          <w:sz w:val="20"/>
          <w:szCs w:val="20"/>
        </w:rPr>
        <w:t xml:space="preserve"> </w:t>
      </w:r>
      <w:r w:rsidRPr="00DC15D4">
        <w:rPr>
          <w:sz w:val="20"/>
          <w:szCs w:val="20"/>
          <w:lang w:val="en-US"/>
        </w:rPr>
        <w:t>07 bộ, cơ quan gồm: Công Thương, Khoa học và Công nghệ, Ngoại giao, Nội vụ, Tài chính, Tư pháp.</w:t>
      </w:r>
    </w:p>
  </w:footnote>
  <w:footnote w:id="35">
    <w:p w14:paraId="13953C58" w14:textId="77777777" w:rsidR="00447085" w:rsidRPr="0075154F" w:rsidRDefault="00447085" w:rsidP="00DC15D4">
      <w:pPr>
        <w:pStyle w:val="FootnoteText"/>
        <w:jc w:val="both"/>
        <w:rPr>
          <w:sz w:val="20"/>
          <w:szCs w:val="20"/>
          <w:lang w:val="vi-VN"/>
        </w:rPr>
      </w:pPr>
      <w:r w:rsidRPr="00DC15D4">
        <w:rPr>
          <w:rStyle w:val="FootnoteReference"/>
          <w:sz w:val="20"/>
          <w:szCs w:val="20"/>
        </w:rPr>
        <w:footnoteRef/>
      </w:r>
      <w:r w:rsidRPr="00DC15D4">
        <w:rPr>
          <w:sz w:val="20"/>
          <w:szCs w:val="20"/>
        </w:rPr>
        <w:t xml:space="preserve"> </w:t>
      </w:r>
      <w:r w:rsidRPr="00DC15D4">
        <w:rPr>
          <w:sz w:val="20"/>
          <w:szCs w:val="20"/>
          <w:lang w:val="vi-VN"/>
        </w:rPr>
        <w:t>Bộ Y tế, Bộ Công Thương….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21DA" w14:textId="77777777" w:rsidR="00447085" w:rsidRPr="0016555E" w:rsidRDefault="00447085" w:rsidP="0031588E">
    <w:pPr>
      <w:pBdr>
        <w:top w:val="nil"/>
        <w:left w:val="nil"/>
        <w:bottom w:val="nil"/>
        <w:right w:val="nil"/>
        <w:between w:val="nil"/>
      </w:pBdr>
      <w:tabs>
        <w:tab w:val="center" w:pos="4680"/>
        <w:tab w:val="right" w:pos="9360"/>
      </w:tabs>
      <w:spacing w:before="240"/>
      <w:jc w:val="center"/>
      <w:rPr>
        <w:color w:val="000000"/>
        <w:sz w:val="24"/>
        <w:szCs w:val="24"/>
      </w:rPr>
    </w:pPr>
    <w:r w:rsidRPr="0016555E">
      <w:rPr>
        <w:color w:val="000000"/>
        <w:sz w:val="24"/>
        <w:szCs w:val="24"/>
      </w:rPr>
      <w:fldChar w:fldCharType="begin"/>
    </w:r>
    <w:r w:rsidRPr="0016555E">
      <w:rPr>
        <w:color w:val="000000"/>
        <w:sz w:val="24"/>
        <w:szCs w:val="24"/>
      </w:rPr>
      <w:instrText>PAGE</w:instrText>
    </w:r>
    <w:r w:rsidRPr="0016555E">
      <w:rPr>
        <w:color w:val="000000"/>
        <w:sz w:val="24"/>
        <w:szCs w:val="24"/>
      </w:rPr>
      <w:fldChar w:fldCharType="separate"/>
    </w:r>
    <w:r w:rsidRPr="0016555E">
      <w:rPr>
        <w:noProof/>
        <w:color w:val="000000"/>
        <w:sz w:val="24"/>
        <w:szCs w:val="24"/>
      </w:rPr>
      <w:t>7</w:t>
    </w:r>
    <w:r w:rsidRPr="0016555E">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37486" w14:textId="77777777" w:rsidR="00447085" w:rsidRDefault="00447085">
    <w:pPr>
      <w:pBdr>
        <w:top w:val="nil"/>
        <w:left w:val="nil"/>
        <w:bottom w:val="nil"/>
        <w:right w:val="nil"/>
        <w:between w:val="nil"/>
      </w:pBdr>
      <w:tabs>
        <w:tab w:val="center" w:pos="4680"/>
        <w:tab w:val="right" w:pos="9360"/>
      </w:tabs>
      <w:jc w:val="center"/>
      <w:rPr>
        <w:color w:val="000000"/>
      </w:rPr>
    </w:pPr>
  </w:p>
  <w:p w14:paraId="70F9FEF6" w14:textId="77777777" w:rsidR="00447085" w:rsidRDefault="0044708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B2D99"/>
    <w:multiLevelType w:val="hybridMultilevel"/>
    <w:tmpl w:val="78606192"/>
    <w:lvl w:ilvl="0" w:tplc="9DCAC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0605B98"/>
    <w:multiLevelType w:val="hybridMultilevel"/>
    <w:tmpl w:val="DAD25586"/>
    <w:lvl w:ilvl="0" w:tplc="65C816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D6F6528"/>
    <w:multiLevelType w:val="multilevel"/>
    <w:tmpl w:val="1308680A"/>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5D8780D"/>
    <w:multiLevelType w:val="hybridMultilevel"/>
    <w:tmpl w:val="2988C7D4"/>
    <w:lvl w:ilvl="0" w:tplc="044C5BA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E1063D5"/>
    <w:multiLevelType w:val="hybridMultilevel"/>
    <w:tmpl w:val="08D8B2BC"/>
    <w:lvl w:ilvl="0" w:tplc="21C04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1E6372"/>
    <w:multiLevelType w:val="hybridMultilevel"/>
    <w:tmpl w:val="8A6CF972"/>
    <w:lvl w:ilvl="0" w:tplc="02C248EA">
      <w:start w:val="3"/>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46056CC1"/>
    <w:multiLevelType w:val="hybridMultilevel"/>
    <w:tmpl w:val="25CC6CAE"/>
    <w:lvl w:ilvl="0" w:tplc="64E0623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72213A"/>
    <w:multiLevelType w:val="hybridMultilevel"/>
    <w:tmpl w:val="659EB4D0"/>
    <w:lvl w:ilvl="0" w:tplc="0F103E7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01909DE"/>
    <w:multiLevelType w:val="hybridMultilevel"/>
    <w:tmpl w:val="82B857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37307"/>
    <w:multiLevelType w:val="hybridMultilevel"/>
    <w:tmpl w:val="3FF640A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73B36DF4"/>
    <w:multiLevelType w:val="hybridMultilevel"/>
    <w:tmpl w:val="46C8D19E"/>
    <w:lvl w:ilvl="0" w:tplc="23F24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2C7064"/>
    <w:multiLevelType w:val="hybridMultilevel"/>
    <w:tmpl w:val="4520464C"/>
    <w:lvl w:ilvl="0" w:tplc="1BC01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A557A1"/>
    <w:multiLevelType w:val="hybridMultilevel"/>
    <w:tmpl w:val="966C2E10"/>
    <w:lvl w:ilvl="0" w:tplc="D1F644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4"/>
  </w:num>
  <w:num w:numId="3">
    <w:abstractNumId w:val="6"/>
  </w:num>
  <w:num w:numId="4">
    <w:abstractNumId w:val="11"/>
  </w:num>
  <w:num w:numId="5">
    <w:abstractNumId w:val="1"/>
  </w:num>
  <w:num w:numId="6">
    <w:abstractNumId w:val="5"/>
  </w:num>
  <w:num w:numId="7">
    <w:abstractNumId w:val="0"/>
  </w:num>
  <w:num w:numId="8">
    <w:abstractNumId w:val="9"/>
  </w:num>
  <w:num w:numId="9">
    <w:abstractNumId w:val="12"/>
  </w:num>
  <w:num w:numId="10">
    <w:abstractNumId w:val="3"/>
  </w:num>
  <w:num w:numId="11">
    <w:abstractNumId w:val="8"/>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72"/>
    <w:rsid w:val="00000D92"/>
    <w:rsid w:val="00000E6D"/>
    <w:rsid w:val="00000FBC"/>
    <w:rsid w:val="00001765"/>
    <w:rsid w:val="00004703"/>
    <w:rsid w:val="000057DB"/>
    <w:rsid w:val="00010D01"/>
    <w:rsid w:val="00011B2D"/>
    <w:rsid w:val="00011D20"/>
    <w:rsid w:val="00014583"/>
    <w:rsid w:val="00016B76"/>
    <w:rsid w:val="00020A3B"/>
    <w:rsid w:val="00020E7F"/>
    <w:rsid w:val="00021F5D"/>
    <w:rsid w:val="000231DF"/>
    <w:rsid w:val="000235AD"/>
    <w:rsid w:val="00023E4F"/>
    <w:rsid w:val="0002430B"/>
    <w:rsid w:val="00027F94"/>
    <w:rsid w:val="00027FDB"/>
    <w:rsid w:val="0003115B"/>
    <w:rsid w:val="00031503"/>
    <w:rsid w:val="00031524"/>
    <w:rsid w:val="00031A32"/>
    <w:rsid w:val="00034B39"/>
    <w:rsid w:val="00035B95"/>
    <w:rsid w:val="00035BE1"/>
    <w:rsid w:val="00036030"/>
    <w:rsid w:val="000360E8"/>
    <w:rsid w:val="000402F3"/>
    <w:rsid w:val="00040A1C"/>
    <w:rsid w:val="000413E7"/>
    <w:rsid w:val="0004144E"/>
    <w:rsid w:val="00042135"/>
    <w:rsid w:val="00042868"/>
    <w:rsid w:val="00043391"/>
    <w:rsid w:val="000434E4"/>
    <w:rsid w:val="0004408D"/>
    <w:rsid w:val="00044E4D"/>
    <w:rsid w:val="0004585F"/>
    <w:rsid w:val="00046B77"/>
    <w:rsid w:val="00052D83"/>
    <w:rsid w:val="0005332C"/>
    <w:rsid w:val="000549BA"/>
    <w:rsid w:val="000554B5"/>
    <w:rsid w:val="0005682B"/>
    <w:rsid w:val="00057222"/>
    <w:rsid w:val="00060258"/>
    <w:rsid w:val="00060772"/>
    <w:rsid w:val="00061DEB"/>
    <w:rsid w:val="0006209F"/>
    <w:rsid w:val="000633BA"/>
    <w:rsid w:val="00064E84"/>
    <w:rsid w:val="00065972"/>
    <w:rsid w:val="00066D45"/>
    <w:rsid w:val="00067C6A"/>
    <w:rsid w:val="00070106"/>
    <w:rsid w:val="0007080D"/>
    <w:rsid w:val="000708B8"/>
    <w:rsid w:val="00071FB0"/>
    <w:rsid w:val="00072D7A"/>
    <w:rsid w:val="000748CF"/>
    <w:rsid w:val="0007525A"/>
    <w:rsid w:val="000778D6"/>
    <w:rsid w:val="00081D34"/>
    <w:rsid w:val="00083D8B"/>
    <w:rsid w:val="00084644"/>
    <w:rsid w:val="00085148"/>
    <w:rsid w:val="0008549C"/>
    <w:rsid w:val="00086B29"/>
    <w:rsid w:val="000874F8"/>
    <w:rsid w:val="0008798F"/>
    <w:rsid w:val="0009487D"/>
    <w:rsid w:val="00096419"/>
    <w:rsid w:val="00096B9E"/>
    <w:rsid w:val="00096F63"/>
    <w:rsid w:val="00097813"/>
    <w:rsid w:val="000978DE"/>
    <w:rsid w:val="000A138D"/>
    <w:rsid w:val="000A2AF2"/>
    <w:rsid w:val="000A4326"/>
    <w:rsid w:val="000A565C"/>
    <w:rsid w:val="000A5E16"/>
    <w:rsid w:val="000B185B"/>
    <w:rsid w:val="000B27E1"/>
    <w:rsid w:val="000B2D7F"/>
    <w:rsid w:val="000B385B"/>
    <w:rsid w:val="000B3AFF"/>
    <w:rsid w:val="000C1622"/>
    <w:rsid w:val="000C1F78"/>
    <w:rsid w:val="000C2761"/>
    <w:rsid w:val="000C4417"/>
    <w:rsid w:val="000C559B"/>
    <w:rsid w:val="000C7771"/>
    <w:rsid w:val="000C7952"/>
    <w:rsid w:val="000D0BE7"/>
    <w:rsid w:val="000D2346"/>
    <w:rsid w:val="000D2959"/>
    <w:rsid w:val="000D597B"/>
    <w:rsid w:val="000E047E"/>
    <w:rsid w:val="000E0B7A"/>
    <w:rsid w:val="000E61E6"/>
    <w:rsid w:val="000E6BE1"/>
    <w:rsid w:val="000E6D50"/>
    <w:rsid w:val="000E7716"/>
    <w:rsid w:val="000F09E3"/>
    <w:rsid w:val="000F2742"/>
    <w:rsid w:val="000F39F4"/>
    <w:rsid w:val="000F4DAD"/>
    <w:rsid w:val="000F639E"/>
    <w:rsid w:val="000F6939"/>
    <w:rsid w:val="000F7CAD"/>
    <w:rsid w:val="001001FD"/>
    <w:rsid w:val="0010021D"/>
    <w:rsid w:val="00100884"/>
    <w:rsid w:val="0010221D"/>
    <w:rsid w:val="001024A3"/>
    <w:rsid w:val="001046F9"/>
    <w:rsid w:val="00105F0D"/>
    <w:rsid w:val="00106A37"/>
    <w:rsid w:val="0011287F"/>
    <w:rsid w:val="00112C95"/>
    <w:rsid w:val="00112D38"/>
    <w:rsid w:val="00113CAA"/>
    <w:rsid w:val="00114196"/>
    <w:rsid w:val="001146B1"/>
    <w:rsid w:val="001149FB"/>
    <w:rsid w:val="001155D0"/>
    <w:rsid w:val="00115C88"/>
    <w:rsid w:val="00116FB8"/>
    <w:rsid w:val="001205A4"/>
    <w:rsid w:val="0012082A"/>
    <w:rsid w:val="00121108"/>
    <w:rsid w:val="0012449B"/>
    <w:rsid w:val="00124CEB"/>
    <w:rsid w:val="00125007"/>
    <w:rsid w:val="00125D81"/>
    <w:rsid w:val="001306A9"/>
    <w:rsid w:val="001325C0"/>
    <w:rsid w:val="00133971"/>
    <w:rsid w:val="00136D41"/>
    <w:rsid w:val="00140451"/>
    <w:rsid w:val="001418E4"/>
    <w:rsid w:val="00141DED"/>
    <w:rsid w:val="001453A0"/>
    <w:rsid w:val="001454C6"/>
    <w:rsid w:val="00145542"/>
    <w:rsid w:val="0014703E"/>
    <w:rsid w:val="0015189D"/>
    <w:rsid w:val="001528F3"/>
    <w:rsid w:val="00153631"/>
    <w:rsid w:val="001570F1"/>
    <w:rsid w:val="00157301"/>
    <w:rsid w:val="001616FA"/>
    <w:rsid w:val="00161C01"/>
    <w:rsid w:val="00161D40"/>
    <w:rsid w:val="00163016"/>
    <w:rsid w:val="0016527B"/>
    <w:rsid w:val="0016555E"/>
    <w:rsid w:val="00165574"/>
    <w:rsid w:val="0017049E"/>
    <w:rsid w:val="00172327"/>
    <w:rsid w:val="00173335"/>
    <w:rsid w:val="00174D98"/>
    <w:rsid w:val="001752C3"/>
    <w:rsid w:val="00175FD1"/>
    <w:rsid w:val="0017649F"/>
    <w:rsid w:val="001770D4"/>
    <w:rsid w:val="001771C8"/>
    <w:rsid w:val="001819C9"/>
    <w:rsid w:val="00183176"/>
    <w:rsid w:val="0018398F"/>
    <w:rsid w:val="0018440A"/>
    <w:rsid w:val="00186370"/>
    <w:rsid w:val="00190E00"/>
    <w:rsid w:val="00191169"/>
    <w:rsid w:val="0019178E"/>
    <w:rsid w:val="00191829"/>
    <w:rsid w:val="0019329D"/>
    <w:rsid w:val="00193E48"/>
    <w:rsid w:val="00196459"/>
    <w:rsid w:val="00196CAC"/>
    <w:rsid w:val="001A0962"/>
    <w:rsid w:val="001A0FB4"/>
    <w:rsid w:val="001A144C"/>
    <w:rsid w:val="001A26B5"/>
    <w:rsid w:val="001A2CEF"/>
    <w:rsid w:val="001A3ECA"/>
    <w:rsid w:val="001A6301"/>
    <w:rsid w:val="001B03D7"/>
    <w:rsid w:val="001B31E9"/>
    <w:rsid w:val="001B32D7"/>
    <w:rsid w:val="001B3983"/>
    <w:rsid w:val="001B3CD2"/>
    <w:rsid w:val="001B5E7C"/>
    <w:rsid w:val="001B6500"/>
    <w:rsid w:val="001C0C0B"/>
    <w:rsid w:val="001C14BF"/>
    <w:rsid w:val="001C1906"/>
    <w:rsid w:val="001C312E"/>
    <w:rsid w:val="001C6C83"/>
    <w:rsid w:val="001D0C51"/>
    <w:rsid w:val="001D6557"/>
    <w:rsid w:val="001D6FD2"/>
    <w:rsid w:val="001D731B"/>
    <w:rsid w:val="001D74E7"/>
    <w:rsid w:val="001E1FE1"/>
    <w:rsid w:val="001E29F5"/>
    <w:rsid w:val="001E2AB9"/>
    <w:rsid w:val="001E33D8"/>
    <w:rsid w:val="001E4AC6"/>
    <w:rsid w:val="001E5D62"/>
    <w:rsid w:val="001E6199"/>
    <w:rsid w:val="001E6761"/>
    <w:rsid w:val="001E7BD8"/>
    <w:rsid w:val="001F2052"/>
    <w:rsid w:val="001F2A35"/>
    <w:rsid w:val="001F3091"/>
    <w:rsid w:val="001F59DA"/>
    <w:rsid w:val="001F799D"/>
    <w:rsid w:val="002003D9"/>
    <w:rsid w:val="0020064A"/>
    <w:rsid w:val="00201188"/>
    <w:rsid w:val="002020C0"/>
    <w:rsid w:val="0020389F"/>
    <w:rsid w:val="00203BB2"/>
    <w:rsid w:val="00204DFC"/>
    <w:rsid w:val="00205CCA"/>
    <w:rsid w:val="00207486"/>
    <w:rsid w:val="002138E8"/>
    <w:rsid w:val="0021449D"/>
    <w:rsid w:val="0021626B"/>
    <w:rsid w:val="002178AF"/>
    <w:rsid w:val="00220E99"/>
    <w:rsid w:val="0022181F"/>
    <w:rsid w:val="00221A5D"/>
    <w:rsid w:val="00222956"/>
    <w:rsid w:val="00223218"/>
    <w:rsid w:val="00225F69"/>
    <w:rsid w:val="00226114"/>
    <w:rsid w:val="00232217"/>
    <w:rsid w:val="0023266C"/>
    <w:rsid w:val="00232953"/>
    <w:rsid w:val="00233393"/>
    <w:rsid w:val="002357AD"/>
    <w:rsid w:val="00235C19"/>
    <w:rsid w:val="00236E84"/>
    <w:rsid w:val="002412BB"/>
    <w:rsid w:val="00241A07"/>
    <w:rsid w:val="00241DA9"/>
    <w:rsid w:val="002422F0"/>
    <w:rsid w:val="00242328"/>
    <w:rsid w:val="0024251A"/>
    <w:rsid w:val="0024316A"/>
    <w:rsid w:val="00243D59"/>
    <w:rsid w:val="00244975"/>
    <w:rsid w:val="0024516D"/>
    <w:rsid w:val="00247CF1"/>
    <w:rsid w:val="0025006A"/>
    <w:rsid w:val="002508BA"/>
    <w:rsid w:val="0025095A"/>
    <w:rsid w:val="002515A6"/>
    <w:rsid w:val="0025292E"/>
    <w:rsid w:val="00253683"/>
    <w:rsid w:val="00253871"/>
    <w:rsid w:val="002551F2"/>
    <w:rsid w:val="00256846"/>
    <w:rsid w:val="002575AD"/>
    <w:rsid w:val="00260415"/>
    <w:rsid w:val="00260ADF"/>
    <w:rsid w:val="0026324C"/>
    <w:rsid w:val="00263C52"/>
    <w:rsid w:val="00265BB4"/>
    <w:rsid w:val="002661B4"/>
    <w:rsid w:val="002670F9"/>
    <w:rsid w:val="00267405"/>
    <w:rsid w:val="002706CA"/>
    <w:rsid w:val="00270A47"/>
    <w:rsid w:val="0027177A"/>
    <w:rsid w:val="0027237C"/>
    <w:rsid w:val="0027374D"/>
    <w:rsid w:val="00275CB8"/>
    <w:rsid w:val="0028052E"/>
    <w:rsid w:val="00280DF7"/>
    <w:rsid w:val="00286001"/>
    <w:rsid w:val="002875E4"/>
    <w:rsid w:val="00290E29"/>
    <w:rsid w:val="002920CD"/>
    <w:rsid w:val="00294D4D"/>
    <w:rsid w:val="00294F5A"/>
    <w:rsid w:val="002950C7"/>
    <w:rsid w:val="002A086F"/>
    <w:rsid w:val="002A33C2"/>
    <w:rsid w:val="002A37B3"/>
    <w:rsid w:val="002A4376"/>
    <w:rsid w:val="002A4E4C"/>
    <w:rsid w:val="002A54B8"/>
    <w:rsid w:val="002A617D"/>
    <w:rsid w:val="002A7427"/>
    <w:rsid w:val="002A7A0E"/>
    <w:rsid w:val="002A7D9D"/>
    <w:rsid w:val="002B07F4"/>
    <w:rsid w:val="002B14A0"/>
    <w:rsid w:val="002B1D94"/>
    <w:rsid w:val="002B3156"/>
    <w:rsid w:val="002B3446"/>
    <w:rsid w:val="002B4C8F"/>
    <w:rsid w:val="002B5572"/>
    <w:rsid w:val="002C08C2"/>
    <w:rsid w:val="002C114E"/>
    <w:rsid w:val="002C2AA1"/>
    <w:rsid w:val="002C491C"/>
    <w:rsid w:val="002C4E1C"/>
    <w:rsid w:val="002C7A88"/>
    <w:rsid w:val="002D0083"/>
    <w:rsid w:val="002D0B51"/>
    <w:rsid w:val="002D298B"/>
    <w:rsid w:val="002D43E8"/>
    <w:rsid w:val="002D58CA"/>
    <w:rsid w:val="002D6225"/>
    <w:rsid w:val="002E016C"/>
    <w:rsid w:val="002E0765"/>
    <w:rsid w:val="002E1CC3"/>
    <w:rsid w:val="002E4631"/>
    <w:rsid w:val="002F06E5"/>
    <w:rsid w:val="002F0A19"/>
    <w:rsid w:val="002F1077"/>
    <w:rsid w:val="002F348A"/>
    <w:rsid w:val="002F44B5"/>
    <w:rsid w:val="002F67DD"/>
    <w:rsid w:val="003039DF"/>
    <w:rsid w:val="00303EA9"/>
    <w:rsid w:val="003043EF"/>
    <w:rsid w:val="00304A19"/>
    <w:rsid w:val="00304EF9"/>
    <w:rsid w:val="00305E08"/>
    <w:rsid w:val="00307D32"/>
    <w:rsid w:val="00307EC7"/>
    <w:rsid w:val="0031070A"/>
    <w:rsid w:val="00310DE7"/>
    <w:rsid w:val="0031163F"/>
    <w:rsid w:val="00315514"/>
    <w:rsid w:val="0031588E"/>
    <w:rsid w:val="003174F6"/>
    <w:rsid w:val="00317CFB"/>
    <w:rsid w:val="00320FAA"/>
    <w:rsid w:val="003214CA"/>
    <w:rsid w:val="003216C4"/>
    <w:rsid w:val="003231E5"/>
    <w:rsid w:val="00323904"/>
    <w:rsid w:val="00323EC5"/>
    <w:rsid w:val="0032617D"/>
    <w:rsid w:val="00326FCB"/>
    <w:rsid w:val="00330862"/>
    <w:rsid w:val="00331C21"/>
    <w:rsid w:val="00333565"/>
    <w:rsid w:val="00333EBE"/>
    <w:rsid w:val="00334754"/>
    <w:rsid w:val="00334EA0"/>
    <w:rsid w:val="00335F50"/>
    <w:rsid w:val="003411D6"/>
    <w:rsid w:val="0034165E"/>
    <w:rsid w:val="003428C3"/>
    <w:rsid w:val="00344850"/>
    <w:rsid w:val="00345200"/>
    <w:rsid w:val="00347814"/>
    <w:rsid w:val="0035010D"/>
    <w:rsid w:val="00350285"/>
    <w:rsid w:val="00351EC7"/>
    <w:rsid w:val="00357449"/>
    <w:rsid w:val="0036051C"/>
    <w:rsid w:val="00360874"/>
    <w:rsid w:val="00361EB8"/>
    <w:rsid w:val="00363C09"/>
    <w:rsid w:val="00363D7E"/>
    <w:rsid w:val="003654FF"/>
    <w:rsid w:val="00367021"/>
    <w:rsid w:val="00367E35"/>
    <w:rsid w:val="00370E7D"/>
    <w:rsid w:val="003739FA"/>
    <w:rsid w:val="00374316"/>
    <w:rsid w:val="003748E3"/>
    <w:rsid w:val="00375234"/>
    <w:rsid w:val="00376065"/>
    <w:rsid w:val="00380ABA"/>
    <w:rsid w:val="00380B79"/>
    <w:rsid w:val="00381516"/>
    <w:rsid w:val="00382722"/>
    <w:rsid w:val="00385995"/>
    <w:rsid w:val="00385E53"/>
    <w:rsid w:val="003873FA"/>
    <w:rsid w:val="00391A26"/>
    <w:rsid w:val="00392E2E"/>
    <w:rsid w:val="0039403F"/>
    <w:rsid w:val="0039431A"/>
    <w:rsid w:val="0039496C"/>
    <w:rsid w:val="003A0368"/>
    <w:rsid w:val="003A192D"/>
    <w:rsid w:val="003A217B"/>
    <w:rsid w:val="003A2FF0"/>
    <w:rsid w:val="003A6608"/>
    <w:rsid w:val="003A7486"/>
    <w:rsid w:val="003A77C3"/>
    <w:rsid w:val="003A7D87"/>
    <w:rsid w:val="003A7FBF"/>
    <w:rsid w:val="003B02F5"/>
    <w:rsid w:val="003B1866"/>
    <w:rsid w:val="003B4413"/>
    <w:rsid w:val="003B649D"/>
    <w:rsid w:val="003B6D4A"/>
    <w:rsid w:val="003C0F42"/>
    <w:rsid w:val="003C1E4B"/>
    <w:rsid w:val="003C1F82"/>
    <w:rsid w:val="003C38F4"/>
    <w:rsid w:val="003C4C26"/>
    <w:rsid w:val="003C7F44"/>
    <w:rsid w:val="003D07E1"/>
    <w:rsid w:val="003D0FFC"/>
    <w:rsid w:val="003D1C53"/>
    <w:rsid w:val="003D43D6"/>
    <w:rsid w:val="003D51E2"/>
    <w:rsid w:val="003D638A"/>
    <w:rsid w:val="003E34C6"/>
    <w:rsid w:val="003E6364"/>
    <w:rsid w:val="003E6759"/>
    <w:rsid w:val="003E6C13"/>
    <w:rsid w:val="003F00D1"/>
    <w:rsid w:val="003F0D59"/>
    <w:rsid w:val="003F19AD"/>
    <w:rsid w:val="003F280A"/>
    <w:rsid w:val="003F4BA0"/>
    <w:rsid w:val="003F5AC6"/>
    <w:rsid w:val="003F5D3D"/>
    <w:rsid w:val="003F65C8"/>
    <w:rsid w:val="003F6C64"/>
    <w:rsid w:val="004007AA"/>
    <w:rsid w:val="00402C2F"/>
    <w:rsid w:val="00402D08"/>
    <w:rsid w:val="00406769"/>
    <w:rsid w:val="004072AE"/>
    <w:rsid w:val="00412EB7"/>
    <w:rsid w:val="00414B0E"/>
    <w:rsid w:val="00415B1B"/>
    <w:rsid w:val="00416936"/>
    <w:rsid w:val="0042001A"/>
    <w:rsid w:val="004221E6"/>
    <w:rsid w:val="00423206"/>
    <w:rsid w:val="004234DD"/>
    <w:rsid w:val="00423511"/>
    <w:rsid w:val="00425ECA"/>
    <w:rsid w:val="00433995"/>
    <w:rsid w:val="00434337"/>
    <w:rsid w:val="00436BF9"/>
    <w:rsid w:val="00440F03"/>
    <w:rsid w:val="00441E76"/>
    <w:rsid w:val="00442546"/>
    <w:rsid w:val="00443153"/>
    <w:rsid w:val="004441A4"/>
    <w:rsid w:val="004458DF"/>
    <w:rsid w:val="00445A6D"/>
    <w:rsid w:val="00447085"/>
    <w:rsid w:val="004508C1"/>
    <w:rsid w:val="004517BF"/>
    <w:rsid w:val="00452083"/>
    <w:rsid w:val="004548D2"/>
    <w:rsid w:val="00454FF0"/>
    <w:rsid w:val="00461459"/>
    <w:rsid w:val="004620A2"/>
    <w:rsid w:val="0046563B"/>
    <w:rsid w:val="00470150"/>
    <w:rsid w:val="004706BF"/>
    <w:rsid w:val="00472BD6"/>
    <w:rsid w:val="00474838"/>
    <w:rsid w:val="0047602D"/>
    <w:rsid w:val="004765CA"/>
    <w:rsid w:val="00476B13"/>
    <w:rsid w:val="00480BE4"/>
    <w:rsid w:val="00480EC5"/>
    <w:rsid w:val="0048117B"/>
    <w:rsid w:val="0048127D"/>
    <w:rsid w:val="00481D42"/>
    <w:rsid w:val="0048226A"/>
    <w:rsid w:val="00482ABE"/>
    <w:rsid w:val="00484C1E"/>
    <w:rsid w:val="004854EC"/>
    <w:rsid w:val="0049071B"/>
    <w:rsid w:val="00490FD0"/>
    <w:rsid w:val="0049346D"/>
    <w:rsid w:val="00493E66"/>
    <w:rsid w:val="004945D7"/>
    <w:rsid w:val="004952B5"/>
    <w:rsid w:val="004959A7"/>
    <w:rsid w:val="004972E1"/>
    <w:rsid w:val="00497326"/>
    <w:rsid w:val="004A272B"/>
    <w:rsid w:val="004A5A18"/>
    <w:rsid w:val="004B2876"/>
    <w:rsid w:val="004B498B"/>
    <w:rsid w:val="004B4B6C"/>
    <w:rsid w:val="004B697F"/>
    <w:rsid w:val="004B6EFA"/>
    <w:rsid w:val="004B7942"/>
    <w:rsid w:val="004C1AEB"/>
    <w:rsid w:val="004C2A1A"/>
    <w:rsid w:val="004C4707"/>
    <w:rsid w:val="004C4814"/>
    <w:rsid w:val="004C5F75"/>
    <w:rsid w:val="004C62B9"/>
    <w:rsid w:val="004C71D8"/>
    <w:rsid w:val="004D0D90"/>
    <w:rsid w:val="004D25B2"/>
    <w:rsid w:val="004D5D72"/>
    <w:rsid w:val="004E0506"/>
    <w:rsid w:val="004E1B66"/>
    <w:rsid w:val="004E1EC6"/>
    <w:rsid w:val="004E37BC"/>
    <w:rsid w:val="004E39BC"/>
    <w:rsid w:val="004E46C3"/>
    <w:rsid w:val="004E504E"/>
    <w:rsid w:val="004E5187"/>
    <w:rsid w:val="004E54B1"/>
    <w:rsid w:val="004E5962"/>
    <w:rsid w:val="004E5B75"/>
    <w:rsid w:val="004F010A"/>
    <w:rsid w:val="004F070C"/>
    <w:rsid w:val="004F20D6"/>
    <w:rsid w:val="004F34F5"/>
    <w:rsid w:val="004F6DAA"/>
    <w:rsid w:val="004F6E5F"/>
    <w:rsid w:val="004F75FA"/>
    <w:rsid w:val="004F775C"/>
    <w:rsid w:val="004F7BF2"/>
    <w:rsid w:val="004F7EFD"/>
    <w:rsid w:val="005004A0"/>
    <w:rsid w:val="005029A1"/>
    <w:rsid w:val="00503428"/>
    <w:rsid w:val="0050420D"/>
    <w:rsid w:val="005048C4"/>
    <w:rsid w:val="00504FA3"/>
    <w:rsid w:val="005054B9"/>
    <w:rsid w:val="00506513"/>
    <w:rsid w:val="00507C87"/>
    <w:rsid w:val="00510C69"/>
    <w:rsid w:val="00510F14"/>
    <w:rsid w:val="005128AB"/>
    <w:rsid w:val="005131AC"/>
    <w:rsid w:val="0051356B"/>
    <w:rsid w:val="00513B95"/>
    <w:rsid w:val="00514198"/>
    <w:rsid w:val="00517F23"/>
    <w:rsid w:val="00520049"/>
    <w:rsid w:val="0052402E"/>
    <w:rsid w:val="0052406F"/>
    <w:rsid w:val="00524509"/>
    <w:rsid w:val="0052500B"/>
    <w:rsid w:val="0052555A"/>
    <w:rsid w:val="00531ED8"/>
    <w:rsid w:val="005327E5"/>
    <w:rsid w:val="00532809"/>
    <w:rsid w:val="00534465"/>
    <w:rsid w:val="00540485"/>
    <w:rsid w:val="00541611"/>
    <w:rsid w:val="005419B0"/>
    <w:rsid w:val="00541DE3"/>
    <w:rsid w:val="0054212F"/>
    <w:rsid w:val="00545604"/>
    <w:rsid w:val="00545FED"/>
    <w:rsid w:val="0054732A"/>
    <w:rsid w:val="005475D5"/>
    <w:rsid w:val="00552E33"/>
    <w:rsid w:val="00554499"/>
    <w:rsid w:val="005545AC"/>
    <w:rsid w:val="00554F99"/>
    <w:rsid w:val="005560AC"/>
    <w:rsid w:val="00556586"/>
    <w:rsid w:val="00556FFE"/>
    <w:rsid w:val="0055728E"/>
    <w:rsid w:val="005576CD"/>
    <w:rsid w:val="00560706"/>
    <w:rsid w:val="00561440"/>
    <w:rsid w:val="00561A68"/>
    <w:rsid w:val="00562A39"/>
    <w:rsid w:val="00562B08"/>
    <w:rsid w:val="00563710"/>
    <w:rsid w:val="005659C8"/>
    <w:rsid w:val="00565DF5"/>
    <w:rsid w:val="00570802"/>
    <w:rsid w:val="00571AE4"/>
    <w:rsid w:val="005728EC"/>
    <w:rsid w:val="00572E3D"/>
    <w:rsid w:val="00574EBE"/>
    <w:rsid w:val="005754C1"/>
    <w:rsid w:val="0057597A"/>
    <w:rsid w:val="00576300"/>
    <w:rsid w:val="00576DAD"/>
    <w:rsid w:val="0057783A"/>
    <w:rsid w:val="00583308"/>
    <w:rsid w:val="00584947"/>
    <w:rsid w:val="005875BD"/>
    <w:rsid w:val="005905BC"/>
    <w:rsid w:val="005906F9"/>
    <w:rsid w:val="00591D00"/>
    <w:rsid w:val="005926B3"/>
    <w:rsid w:val="00592FEF"/>
    <w:rsid w:val="0059349F"/>
    <w:rsid w:val="00593BB8"/>
    <w:rsid w:val="005965C7"/>
    <w:rsid w:val="005967C3"/>
    <w:rsid w:val="00596E20"/>
    <w:rsid w:val="005A0007"/>
    <w:rsid w:val="005A1AB0"/>
    <w:rsid w:val="005A5109"/>
    <w:rsid w:val="005A522A"/>
    <w:rsid w:val="005A7282"/>
    <w:rsid w:val="005A7916"/>
    <w:rsid w:val="005A7CA7"/>
    <w:rsid w:val="005B4159"/>
    <w:rsid w:val="005B4A17"/>
    <w:rsid w:val="005B6239"/>
    <w:rsid w:val="005B7559"/>
    <w:rsid w:val="005C0CC0"/>
    <w:rsid w:val="005C3555"/>
    <w:rsid w:val="005C57CE"/>
    <w:rsid w:val="005C6C98"/>
    <w:rsid w:val="005C7EC5"/>
    <w:rsid w:val="005D2DB5"/>
    <w:rsid w:val="005D3E0B"/>
    <w:rsid w:val="005E0139"/>
    <w:rsid w:val="005E0A63"/>
    <w:rsid w:val="005E0E5A"/>
    <w:rsid w:val="005E1E5A"/>
    <w:rsid w:val="005E2F24"/>
    <w:rsid w:val="005E3AC9"/>
    <w:rsid w:val="005E550C"/>
    <w:rsid w:val="005E604B"/>
    <w:rsid w:val="005F02C3"/>
    <w:rsid w:val="005F261F"/>
    <w:rsid w:val="005F2D07"/>
    <w:rsid w:val="005F48BB"/>
    <w:rsid w:val="005F5429"/>
    <w:rsid w:val="005F54B2"/>
    <w:rsid w:val="0060172E"/>
    <w:rsid w:val="0060298F"/>
    <w:rsid w:val="00603073"/>
    <w:rsid w:val="00603D8C"/>
    <w:rsid w:val="006041A6"/>
    <w:rsid w:val="00604A33"/>
    <w:rsid w:val="006058BC"/>
    <w:rsid w:val="00606D32"/>
    <w:rsid w:val="0060726E"/>
    <w:rsid w:val="00611627"/>
    <w:rsid w:val="006122F9"/>
    <w:rsid w:val="0061237B"/>
    <w:rsid w:val="00613747"/>
    <w:rsid w:val="006141F5"/>
    <w:rsid w:val="00615C12"/>
    <w:rsid w:val="00616D88"/>
    <w:rsid w:val="006210A4"/>
    <w:rsid w:val="00621D04"/>
    <w:rsid w:val="0062429D"/>
    <w:rsid w:val="00624F58"/>
    <w:rsid w:val="00625359"/>
    <w:rsid w:val="00625448"/>
    <w:rsid w:val="00626D97"/>
    <w:rsid w:val="006302CE"/>
    <w:rsid w:val="006312CA"/>
    <w:rsid w:val="006331F4"/>
    <w:rsid w:val="006343AF"/>
    <w:rsid w:val="006373AB"/>
    <w:rsid w:val="0063798E"/>
    <w:rsid w:val="0064067D"/>
    <w:rsid w:val="00640FFA"/>
    <w:rsid w:val="00641607"/>
    <w:rsid w:val="00641D78"/>
    <w:rsid w:val="00642354"/>
    <w:rsid w:val="00643C0A"/>
    <w:rsid w:val="0064528B"/>
    <w:rsid w:val="006460B3"/>
    <w:rsid w:val="00647057"/>
    <w:rsid w:val="00650361"/>
    <w:rsid w:val="006507D3"/>
    <w:rsid w:val="00651045"/>
    <w:rsid w:val="00651C2E"/>
    <w:rsid w:val="00651D46"/>
    <w:rsid w:val="0065282B"/>
    <w:rsid w:val="006562AC"/>
    <w:rsid w:val="00660ECD"/>
    <w:rsid w:val="006611BC"/>
    <w:rsid w:val="00663B13"/>
    <w:rsid w:val="00666F15"/>
    <w:rsid w:val="006671E5"/>
    <w:rsid w:val="006715B9"/>
    <w:rsid w:val="006720CA"/>
    <w:rsid w:val="00674144"/>
    <w:rsid w:val="00674A87"/>
    <w:rsid w:val="00674D11"/>
    <w:rsid w:val="00675222"/>
    <w:rsid w:val="00677585"/>
    <w:rsid w:val="00680DDF"/>
    <w:rsid w:val="0068260D"/>
    <w:rsid w:val="00683A79"/>
    <w:rsid w:val="00684903"/>
    <w:rsid w:val="006857B1"/>
    <w:rsid w:val="00686F33"/>
    <w:rsid w:val="006877F8"/>
    <w:rsid w:val="00690348"/>
    <w:rsid w:val="0069099E"/>
    <w:rsid w:val="006915B2"/>
    <w:rsid w:val="0069356E"/>
    <w:rsid w:val="00694DFC"/>
    <w:rsid w:val="00694ED0"/>
    <w:rsid w:val="00696496"/>
    <w:rsid w:val="00696C55"/>
    <w:rsid w:val="00697838"/>
    <w:rsid w:val="006A1A88"/>
    <w:rsid w:val="006A2227"/>
    <w:rsid w:val="006A3129"/>
    <w:rsid w:val="006A3EC8"/>
    <w:rsid w:val="006A4091"/>
    <w:rsid w:val="006A5B95"/>
    <w:rsid w:val="006A6BD4"/>
    <w:rsid w:val="006A6C3D"/>
    <w:rsid w:val="006A770E"/>
    <w:rsid w:val="006A7F70"/>
    <w:rsid w:val="006B0C67"/>
    <w:rsid w:val="006B1704"/>
    <w:rsid w:val="006B1BC6"/>
    <w:rsid w:val="006B20AA"/>
    <w:rsid w:val="006B2A65"/>
    <w:rsid w:val="006B4C79"/>
    <w:rsid w:val="006B5829"/>
    <w:rsid w:val="006B72D1"/>
    <w:rsid w:val="006C2DAB"/>
    <w:rsid w:val="006C2F36"/>
    <w:rsid w:val="006C4F3D"/>
    <w:rsid w:val="006C50B8"/>
    <w:rsid w:val="006C778C"/>
    <w:rsid w:val="006D2EE8"/>
    <w:rsid w:val="006D47CE"/>
    <w:rsid w:val="006D61C9"/>
    <w:rsid w:val="006E0D96"/>
    <w:rsid w:val="006E0E24"/>
    <w:rsid w:val="006E1050"/>
    <w:rsid w:val="006E2C73"/>
    <w:rsid w:val="006E3F81"/>
    <w:rsid w:val="006E53BA"/>
    <w:rsid w:val="006E7D99"/>
    <w:rsid w:val="006F0FEA"/>
    <w:rsid w:val="006F13EB"/>
    <w:rsid w:val="006F50F9"/>
    <w:rsid w:val="006F5AC8"/>
    <w:rsid w:val="006F6EC5"/>
    <w:rsid w:val="007009DC"/>
    <w:rsid w:val="00701873"/>
    <w:rsid w:val="007025AA"/>
    <w:rsid w:val="007109D5"/>
    <w:rsid w:val="00711B63"/>
    <w:rsid w:val="00712C11"/>
    <w:rsid w:val="00713B14"/>
    <w:rsid w:val="00713C43"/>
    <w:rsid w:val="0071478F"/>
    <w:rsid w:val="00714BCE"/>
    <w:rsid w:val="00715522"/>
    <w:rsid w:val="007170A2"/>
    <w:rsid w:val="007229A0"/>
    <w:rsid w:val="00722D2E"/>
    <w:rsid w:val="00723550"/>
    <w:rsid w:val="0072392A"/>
    <w:rsid w:val="00723B78"/>
    <w:rsid w:val="00725756"/>
    <w:rsid w:val="00725A99"/>
    <w:rsid w:val="00726293"/>
    <w:rsid w:val="007275DA"/>
    <w:rsid w:val="00730DA9"/>
    <w:rsid w:val="007311CF"/>
    <w:rsid w:val="00731FF6"/>
    <w:rsid w:val="0073224B"/>
    <w:rsid w:val="00732C3D"/>
    <w:rsid w:val="00732DE3"/>
    <w:rsid w:val="00732F02"/>
    <w:rsid w:val="007331E3"/>
    <w:rsid w:val="00733DE4"/>
    <w:rsid w:val="00734758"/>
    <w:rsid w:val="007359B6"/>
    <w:rsid w:val="00737E1F"/>
    <w:rsid w:val="007405C5"/>
    <w:rsid w:val="007406C5"/>
    <w:rsid w:val="0074165C"/>
    <w:rsid w:val="00742855"/>
    <w:rsid w:val="00742AC7"/>
    <w:rsid w:val="007446A8"/>
    <w:rsid w:val="00744E49"/>
    <w:rsid w:val="00745122"/>
    <w:rsid w:val="00745E44"/>
    <w:rsid w:val="00747018"/>
    <w:rsid w:val="00747A00"/>
    <w:rsid w:val="00747F84"/>
    <w:rsid w:val="00751364"/>
    <w:rsid w:val="0075154F"/>
    <w:rsid w:val="00754340"/>
    <w:rsid w:val="007546FF"/>
    <w:rsid w:val="0075581F"/>
    <w:rsid w:val="007560F0"/>
    <w:rsid w:val="0075699D"/>
    <w:rsid w:val="00757208"/>
    <w:rsid w:val="00757365"/>
    <w:rsid w:val="00757809"/>
    <w:rsid w:val="00757D72"/>
    <w:rsid w:val="00762376"/>
    <w:rsid w:val="00762707"/>
    <w:rsid w:val="00762F27"/>
    <w:rsid w:val="0076440C"/>
    <w:rsid w:val="007651FE"/>
    <w:rsid w:val="00765390"/>
    <w:rsid w:val="00765888"/>
    <w:rsid w:val="00766403"/>
    <w:rsid w:val="00766EE6"/>
    <w:rsid w:val="00767745"/>
    <w:rsid w:val="00772601"/>
    <w:rsid w:val="00772A0E"/>
    <w:rsid w:val="007733DB"/>
    <w:rsid w:val="0077360B"/>
    <w:rsid w:val="0077373A"/>
    <w:rsid w:val="0077672E"/>
    <w:rsid w:val="00780C38"/>
    <w:rsid w:val="007862D2"/>
    <w:rsid w:val="0078666A"/>
    <w:rsid w:val="00793720"/>
    <w:rsid w:val="00793A4F"/>
    <w:rsid w:val="00793BB0"/>
    <w:rsid w:val="00795A5C"/>
    <w:rsid w:val="00795D74"/>
    <w:rsid w:val="007974A4"/>
    <w:rsid w:val="007A0932"/>
    <w:rsid w:val="007A0BA9"/>
    <w:rsid w:val="007A0CF0"/>
    <w:rsid w:val="007A1107"/>
    <w:rsid w:val="007A24B4"/>
    <w:rsid w:val="007A51BA"/>
    <w:rsid w:val="007A553C"/>
    <w:rsid w:val="007A65DF"/>
    <w:rsid w:val="007A7113"/>
    <w:rsid w:val="007A75A3"/>
    <w:rsid w:val="007A7D73"/>
    <w:rsid w:val="007B0958"/>
    <w:rsid w:val="007B23B1"/>
    <w:rsid w:val="007B58F2"/>
    <w:rsid w:val="007B5BC3"/>
    <w:rsid w:val="007B695F"/>
    <w:rsid w:val="007B77FC"/>
    <w:rsid w:val="007C01C8"/>
    <w:rsid w:val="007C26D9"/>
    <w:rsid w:val="007C33C1"/>
    <w:rsid w:val="007C3415"/>
    <w:rsid w:val="007C34C9"/>
    <w:rsid w:val="007D080B"/>
    <w:rsid w:val="007D18BE"/>
    <w:rsid w:val="007D1B41"/>
    <w:rsid w:val="007D2170"/>
    <w:rsid w:val="007D2592"/>
    <w:rsid w:val="007D2E09"/>
    <w:rsid w:val="007D46A0"/>
    <w:rsid w:val="007D501C"/>
    <w:rsid w:val="007D5943"/>
    <w:rsid w:val="007D6AD1"/>
    <w:rsid w:val="007E05E8"/>
    <w:rsid w:val="007E2091"/>
    <w:rsid w:val="007E2B72"/>
    <w:rsid w:val="007E30D9"/>
    <w:rsid w:val="007E3668"/>
    <w:rsid w:val="007E69D5"/>
    <w:rsid w:val="007F1E90"/>
    <w:rsid w:val="007F36F1"/>
    <w:rsid w:val="007F44D8"/>
    <w:rsid w:val="007F5812"/>
    <w:rsid w:val="007F6D27"/>
    <w:rsid w:val="007F7ACD"/>
    <w:rsid w:val="00803B9B"/>
    <w:rsid w:val="00804991"/>
    <w:rsid w:val="00810941"/>
    <w:rsid w:val="0081156A"/>
    <w:rsid w:val="00812E61"/>
    <w:rsid w:val="00812F6D"/>
    <w:rsid w:val="00817955"/>
    <w:rsid w:val="00820C57"/>
    <w:rsid w:val="00821745"/>
    <w:rsid w:val="00821F88"/>
    <w:rsid w:val="00824515"/>
    <w:rsid w:val="00825419"/>
    <w:rsid w:val="00826765"/>
    <w:rsid w:val="00826D7A"/>
    <w:rsid w:val="008277CE"/>
    <w:rsid w:val="00830A07"/>
    <w:rsid w:val="0083126A"/>
    <w:rsid w:val="00833963"/>
    <w:rsid w:val="00833C04"/>
    <w:rsid w:val="00833F16"/>
    <w:rsid w:val="008343F9"/>
    <w:rsid w:val="00836617"/>
    <w:rsid w:val="008367E1"/>
    <w:rsid w:val="00840626"/>
    <w:rsid w:val="008406DF"/>
    <w:rsid w:val="00843149"/>
    <w:rsid w:val="008433F3"/>
    <w:rsid w:val="00847756"/>
    <w:rsid w:val="0085079F"/>
    <w:rsid w:val="00851AF3"/>
    <w:rsid w:val="00852CB4"/>
    <w:rsid w:val="008553DE"/>
    <w:rsid w:val="008561F5"/>
    <w:rsid w:val="00856BD7"/>
    <w:rsid w:val="008605CF"/>
    <w:rsid w:val="0086142D"/>
    <w:rsid w:val="00861752"/>
    <w:rsid w:val="00861B1B"/>
    <w:rsid w:val="00861D98"/>
    <w:rsid w:val="00864124"/>
    <w:rsid w:val="00865454"/>
    <w:rsid w:val="0086599B"/>
    <w:rsid w:val="00866887"/>
    <w:rsid w:val="00866A02"/>
    <w:rsid w:val="00867318"/>
    <w:rsid w:val="00870614"/>
    <w:rsid w:val="008706E6"/>
    <w:rsid w:val="008721DC"/>
    <w:rsid w:val="008738E4"/>
    <w:rsid w:val="00874E04"/>
    <w:rsid w:val="00877754"/>
    <w:rsid w:val="0087775E"/>
    <w:rsid w:val="0087777C"/>
    <w:rsid w:val="00881A7C"/>
    <w:rsid w:val="00882A89"/>
    <w:rsid w:val="0088393C"/>
    <w:rsid w:val="00883C95"/>
    <w:rsid w:val="008857DB"/>
    <w:rsid w:val="00885D38"/>
    <w:rsid w:val="008860F4"/>
    <w:rsid w:val="00886250"/>
    <w:rsid w:val="00886A30"/>
    <w:rsid w:val="008876DA"/>
    <w:rsid w:val="008904E3"/>
    <w:rsid w:val="00890CFC"/>
    <w:rsid w:val="0089107D"/>
    <w:rsid w:val="0089127C"/>
    <w:rsid w:val="0089159A"/>
    <w:rsid w:val="00891879"/>
    <w:rsid w:val="008936D3"/>
    <w:rsid w:val="008939F2"/>
    <w:rsid w:val="00895915"/>
    <w:rsid w:val="00895D04"/>
    <w:rsid w:val="008A100C"/>
    <w:rsid w:val="008A1D6F"/>
    <w:rsid w:val="008A2BE9"/>
    <w:rsid w:val="008A4770"/>
    <w:rsid w:val="008A4E4A"/>
    <w:rsid w:val="008A6D33"/>
    <w:rsid w:val="008B2EF3"/>
    <w:rsid w:val="008B4072"/>
    <w:rsid w:val="008B42A7"/>
    <w:rsid w:val="008B4F90"/>
    <w:rsid w:val="008B5D86"/>
    <w:rsid w:val="008B7AEA"/>
    <w:rsid w:val="008C1AC9"/>
    <w:rsid w:val="008C27FB"/>
    <w:rsid w:val="008C4F51"/>
    <w:rsid w:val="008C5644"/>
    <w:rsid w:val="008C6294"/>
    <w:rsid w:val="008D035B"/>
    <w:rsid w:val="008D0A68"/>
    <w:rsid w:val="008D1D09"/>
    <w:rsid w:val="008D28AB"/>
    <w:rsid w:val="008D2EC7"/>
    <w:rsid w:val="008D34A2"/>
    <w:rsid w:val="008D59A8"/>
    <w:rsid w:val="008D60F1"/>
    <w:rsid w:val="008E16D8"/>
    <w:rsid w:val="008E2843"/>
    <w:rsid w:val="008E48F6"/>
    <w:rsid w:val="008E4E16"/>
    <w:rsid w:val="008E680B"/>
    <w:rsid w:val="008E750B"/>
    <w:rsid w:val="008E7C8C"/>
    <w:rsid w:val="008F198F"/>
    <w:rsid w:val="008F2588"/>
    <w:rsid w:val="008F4594"/>
    <w:rsid w:val="008F64B3"/>
    <w:rsid w:val="008F6B53"/>
    <w:rsid w:val="008F761F"/>
    <w:rsid w:val="00900584"/>
    <w:rsid w:val="0090101D"/>
    <w:rsid w:val="00901534"/>
    <w:rsid w:val="00902A31"/>
    <w:rsid w:val="00903F29"/>
    <w:rsid w:val="00905729"/>
    <w:rsid w:val="00907C85"/>
    <w:rsid w:val="009110FA"/>
    <w:rsid w:val="00911DF2"/>
    <w:rsid w:val="00911EF7"/>
    <w:rsid w:val="0091340F"/>
    <w:rsid w:val="00916674"/>
    <w:rsid w:val="00917D6E"/>
    <w:rsid w:val="0092217B"/>
    <w:rsid w:val="00930407"/>
    <w:rsid w:val="009308F1"/>
    <w:rsid w:val="009322C4"/>
    <w:rsid w:val="009349D3"/>
    <w:rsid w:val="00936405"/>
    <w:rsid w:val="0093728C"/>
    <w:rsid w:val="00937CCB"/>
    <w:rsid w:val="009422B9"/>
    <w:rsid w:val="009440BC"/>
    <w:rsid w:val="00944906"/>
    <w:rsid w:val="00947C98"/>
    <w:rsid w:val="00947FD7"/>
    <w:rsid w:val="0095023F"/>
    <w:rsid w:val="00950561"/>
    <w:rsid w:val="009516DD"/>
    <w:rsid w:val="00952ED5"/>
    <w:rsid w:val="00953D3E"/>
    <w:rsid w:val="00955610"/>
    <w:rsid w:val="00956184"/>
    <w:rsid w:val="00957AF2"/>
    <w:rsid w:val="00960CB3"/>
    <w:rsid w:val="00964372"/>
    <w:rsid w:val="00970335"/>
    <w:rsid w:val="00970A64"/>
    <w:rsid w:val="00970F43"/>
    <w:rsid w:val="00971313"/>
    <w:rsid w:val="009724E2"/>
    <w:rsid w:val="00972AB1"/>
    <w:rsid w:val="00972BFB"/>
    <w:rsid w:val="0097301F"/>
    <w:rsid w:val="0097343F"/>
    <w:rsid w:val="0097377A"/>
    <w:rsid w:val="00974612"/>
    <w:rsid w:val="00974643"/>
    <w:rsid w:val="00976960"/>
    <w:rsid w:val="009804B9"/>
    <w:rsid w:val="0098368C"/>
    <w:rsid w:val="00984645"/>
    <w:rsid w:val="00985491"/>
    <w:rsid w:val="009913CC"/>
    <w:rsid w:val="009944A8"/>
    <w:rsid w:val="00994AAE"/>
    <w:rsid w:val="00996719"/>
    <w:rsid w:val="00996C58"/>
    <w:rsid w:val="00997F03"/>
    <w:rsid w:val="009A19FF"/>
    <w:rsid w:val="009A42D2"/>
    <w:rsid w:val="009A4683"/>
    <w:rsid w:val="009A4886"/>
    <w:rsid w:val="009A4A5D"/>
    <w:rsid w:val="009A57EF"/>
    <w:rsid w:val="009A6D46"/>
    <w:rsid w:val="009B007F"/>
    <w:rsid w:val="009B0A6C"/>
    <w:rsid w:val="009B0EB4"/>
    <w:rsid w:val="009B325D"/>
    <w:rsid w:val="009B399A"/>
    <w:rsid w:val="009B5DFE"/>
    <w:rsid w:val="009B64E8"/>
    <w:rsid w:val="009B7817"/>
    <w:rsid w:val="009C073E"/>
    <w:rsid w:val="009C1889"/>
    <w:rsid w:val="009C349C"/>
    <w:rsid w:val="009C37CE"/>
    <w:rsid w:val="009C3851"/>
    <w:rsid w:val="009C39C3"/>
    <w:rsid w:val="009C5296"/>
    <w:rsid w:val="009C541C"/>
    <w:rsid w:val="009C61DC"/>
    <w:rsid w:val="009C6424"/>
    <w:rsid w:val="009C71D9"/>
    <w:rsid w:val="009C7D33"/>
    <w:rsid w:val="009D2772"/>
    <w:rsid w:val="009D3379"/>
    <w:rsid w:val="009D3CDE"/>
    <w:rsid w:val="009D57E5"/>
    <w:rsid w:val="009D6B56"/>
    <w:rsid w:val="009D6C26"/>
    <w:rsid w:val="009D6E59"/>
    <w:rsid w:val="009D79E9"/>
    <w:rsid w:val="009E36FC"/>
    <w:rsid w:val="009E45B9"/>
    <w:rsid w:val="009E4769"/>
    <w:rsid w:val="009E5D81"/>
    <w:rsid w:val="009E687E"/>
    <w:rsid w:val="009E74F6"/>
    <w:rsid w:val="009E7D8A"/>
    <w:rsid w:val="009F1B39"/>
    <w:rsid w:val="009F1BE0"/>
    <w:rsid w:val="009F290C"/>
    <w:rsid w:val="009F5FF9"/>
    <w:rsid w:val="00A00393"/>
    <w:rsid w:val="00A00C35"/>
    <w:rsid w:val="00A00CFD"/>
    <w:rsid w:val="00A015FC"/>
    <w:rsid w:val="00A02062"/>
    <w:rsid w:val="00A036DE"/>
    <w:rsid w:val="00A03760"/>
    <w:rsid w:val="00A03817"/>
    <w:rsid w:val="00A0670E"/>
    <w:rsid w:val="00A079C4"/>
    <w:rsid w:val="00A079FE"/>
    <w:rsid w:val="00A11257"/>
    <w:rsid w:val="00A132C2"/>
    <w:rsid w:val="00A1380C"/>
    <w:rsid w:val="00A1468D"/>
    <w:rsid w:val="00A1478E"/>
    <w:rsid w:val="00A158B1"/>
    <w:rsid w:val="00A20A58"/>
    <w:rsid w:val="00A24D81"/>
    <w:rsid w:val="00A25B77"/>
    <w:rsid w:val="00A26449"/>
    <w:rsid w:val="00A2757E"/>
    <w:rsid w:val="00A27C42"/>
    <w:rsid w:val="00A30DEB"/>
    <w:rsid w:val="00A3119E"/>
    <w:rsid w:val="00A337F7"/>
    <w:rsid w:val="00A33A95"/>
    <w:rsid w:val="00A33C39"/>
    <w:rsid w:val="00A3427D"/>
    <w:rsid w:val="00A347E4"/>
    <w:rsid w:val="00A348B2"/>
    <w:rsid w:val="00A355D0"/>
    <w:rsid w:val="00A371BD"/>
    <w:rsid w:val="00A373BB"/>
    <w:rsid w:val="00A40202"/>
    <w:rsid w:val="00A414E0"/>
    <w:rsid w:val="00A41656"/>
    <w:rsid w:val="00A42BAC"/>
    <w:rsid w:val="00A44E75"/>
    <w:rsid w:val="00A459B3"/>
    <w:rsid w:val="00A45A85"/>
    <w:rsid w:val="00A4722A"/>
    <w:rsid w:val="00A47560"/>
    <w:rsid w:val="00A50E6A"/>
    <w:rsid w:val="00A52383"/>
    <w:rsid w:val="00A52E4C"/>
    <w:rsid w:val="00A57A03"/>
    <w:rsid w:val="00A62D5F"/>
    <w:rsid w:val="00A62DAB"/>
    <w:rsid w:val="00A63D46"/>
    <w:rsid w:val="00A66FAA"/>
    <w:rsid w:val="00A701DE"/>
    <w:rsid w:val="00A72DBE"/>
    <w:rsid w:val="00A734A9"/>
    <w:rsid w:val="00A75B4C"/>
    <w:rsid w:val="00A76368"/>
    <w:rsid w:val="00A76F2C"/>
    <w:rsid w:val="00A76FE4"/>
    <w:rsid w:val="00A7765B"/>
    <w:rsid w:val="00A80949"/>
    <w:rsid w:val="00A8234B"/>
    <w:rsid w:val="00A87E28"/>
    <w:rsid w:val="00A946FF"/>
    <w:rsid w:val="00A9507A"/>
    <w:rsid w:val="00A956AB"/>
    <w:rsid w:val="00A956ED"/>
    <w:rsid w:val="00A96EC3"/>
    <w:rsid w:val="00AA042E"/>
    <w:rsid w:val="00AA073B"/>
    <w:rsid w:val="00AA16F3"/>
    <w:rsid w:val="00AA3B84"/>
    <w:rsid w:val="00AA3C39"/>
    <w:rsid w:val="00AA4219"/>
    <w:rsid w:val="00AA4A4B"/>
    <w:rsid w:val="00AA5EF5"/>
    <w:rsid w:val="00AB107F"/>
    <w:rsid w:val="00AB10EF"/>
    <w:rsid w:val="00AB4A08"/>
    <w:rsid w:val="00AB5427"/>
    <w:rsid w:val="00AB606C"/>
    <w:rsid w:val="00AB6345"/>
    <w:rsid w:val="00AB6631"/>
    <w:rsid w:val="00AC21C2"/>
    <w:rsid w:val="00AC4A23"/>
    <w:rsid w:val="00AC5489"/>
    <w:rsid w:val="00AC6EED"/>
    <w:rsid w:val="00AC76B3"/>
    <w:rsid w:val="00AD0671"/>
    <w:rsid w:val="00AD24A6"/>
    <w:rsid w:val="00AD6615"/>
    <w:rsid w:val="00AD7C3D"/>
    <w:rsid w:val="00AE348F"/>
    <w:rsid w:val="00AE3799"/>
    <w:rsid w:val="00AE4BC5"/>
    <w:rsid w:val="00AE4DBB"/>
    <w:rsid w:val="00AE584C"/>
    <w:rsid w:val="00AE750A"/>
    <w:rsid w:val="00AE7522"/>
    <w:rsid w:val="00AE75F0"/>
    <w:rsid w:val="00AE77DC"/>
    <w:rsid w:val="00AF160E"/>
    <w:rsid w:val="00AF1DD0"/>
    <w:rsid w:val="00AF24AD"/>
    <w:rsid w:val="00AF36F2"/>
    <w:rsid w:val="00AF5239"/>
    <w:rsid w:val="00AF5FAA"/>
    <w:rsid w:val="00AF6952"/>
    <w:rsid w:val="00AF6BBC"/>
    <w:rsid w:val="00AF797D"/>
    <w:rsid w:val="00B00086"/>
    <w:rsid w:val="00B00AB8"/>
    <w:rsid w:val="00B02B6C"/>
    <w:rsid w:val="00B03FAA"/>
    <w:rsid w:val="00B054D3"/>
    <w:rsid w:val="00B06ADB"/>
    <w:rsid w:val="00B07828"/>
    <w:rsid w:val="00B07CA9"/>
    <w:rsid w:val="00B1215D"/>
    <w:rsid w:val="00B1557A"/>
    <w:rsid w:val="00B1666A"/>
    <w:rsid w:val="00B16746"/>
    <w:rsid w:val="00B16FDA"/>
    <w:rsid w:val="00B1703E"/>
    <w:rsid w:val="00B20527"/>
    <w:rsid w:val="00B205F4"/>
    <w:rsid w:val="00B209BD"/>
    <w:rsid w:val="00B21532"/>
    <w:rsid w:val="00B21FD1"/>
    <w:rsid w:val="00B2214C"/>
    <w:rsid w:val="00B221E0"/>
    <w:rsid w:val="00B23DC0"/>
    <w:rsid w:val="00B23FE7"/>
    <w:rsid w:val="00B262B7"/>
    <w:rsid w:val="00B27A1B"/>
    <w:rsid w:val="00B27E1A"/>
    <w:rsid w:val="00B30512"/>
    <w:rsid w:val="00B32659"/>
    <w:rsid w:val="00B332B4"/>
    <w:rsid w:val="00B33439"/>
    <w:rsid w:val="00B34266"/>
    <w:rsid w:val="00B3589D"/>
    <w:rsid w:val="00B36A91"/>
    <w:rsid w:val="00B37159"/>
    <w:rsid w:val="00B37ABA"/>
    <w:rsid w:val="00B40BE7"/>
    <w:rsid w:val="00B40D00"/>
    <w:rsid w:val="00B41595"/>
    <w:rsid w:val="00B41AD4"/>
    <w:rsid w:val="00B427DB"/>
    <w:rsid w:val="00B43736"/>
    <w:rsid w:val="00B45E0A"/>
    <w:rsid w:val="00B47023"/>
    <w:rsid w:val="00B4705F"/>
    <w:rsid w:val="00B47CD8"/>
    <w:rsid w:val="00B5025D"/>
    <w:rsid w:val="00B51EE1"/>
    <w:rsid w:val="00B52B32"/>
    <w:rsid w:val="00B52D66"/>
    <w:rsid w:val="00B532CA"/>
    <w:rsid w:val="00B556BB"/>
    <w:rsid w:val="00B61597"/>
    <w:rsid w:val="00B615CA"/>
    <w:rsid w:val="00B62F6A"/>
    <w:rsid w:val="00B64547"/>
    <w:rsid w:val="00B648A9"/>
    <w:rsid w:val="00B64B6E"/>
    <w:rsid w:val="00B7131F"/>
    <w:rsid w:val="00B719BE"/>
    <w:rsid w:val="00B74973"/>
    <w:rsid w:val="00B756F5"/>
    <w:rsid w:val="00B7726D"/>
    <w:rsid w:val="00B81C77"/>
    <w:rsid w:val="00B82CC5"/>
    <w:rsid w:val="00B851F3"/>
    <w:rsid w:val="00B85EB2"/>
    <w:rsid w:val="00B87003"/>
    <w:rsid w:val="00B873AB"/>
    <w:rsid w:val="00B92434"/>
    <w:rsid w:val="00B94D3B"/>
    <w:rsid w:val="00B95038"/>
    <w:rsid w:val="00B9593F"/>
    <w:rsid w:val="00B965DB"/>
    <w:rsid w:val="00BA0AD9"/>
    <w:rsid w:val="00BA2FBE"/>
    <w:rsid w:val="00BA3269"/>
    <w:rsid w:val="00BA4C26"/>
    <w:rsid w:val="00BA7118"/>
    <w:rsid w:val="00BB0629"/>
    <w:rsid w:val="00BB0EFC"/>
    <w:rsid w:val="00BB344A"/>
    <w:rsid w:val="00BB50E2"/>
    <w:rsid w:val="00BB6303"/>
    <w:rsid w:val="00BB6FB3"/>
    <w:rsid w:val="00BB6FD6"/>
    <w:rsid w:val="00BB7215"/>
    <w:rsid w:val="00BB7BCA"/>
    <w:rsid w:val="00BC04C6"/>
    <w:rsid w:val="00BC10A2"/>
    <w:rsid w:val="00BC1114"/>
    <w:rsid w:val="00BC1596"/>
    <w:rsid w:val="00BC393D"/>
    <w:rsid w:val="00BC42C7"/>
    <w:rsid w:val="00BC4EE1"/>
    <w:rsid w:val="00BC6089"/>
    <w:rsid w:val="00BC6C7A"/>
    <w:rsid w:val="00BC7B11"/>
    <w:rsid w:val="00BD0A2A"/>
    <w:rsid w:val="00BD0BC4"/>
    <w:rsid w:val="00BD0DDE"/>
    <w:rsid w:val="00BD2626"/>
    <w:rsid w:val="00BD3D95"/>
    <w:rsid w:val="00BD4832"/>
    <w:rsid w:val="00BD4D36"/>
    <w:rsid w:val="00BD7CD5"/>
    <w:rsid w:val="00BE1661"/>
    <w:rsid w:val="00BE315A"/>
    <w:rsid w:val="00BE3293"/>
    <w:rsid w:val="00BE58AB"/>
    <w:rsid w:val="00BF183A"/>
    <w:rsid w:val="00BF1E6C"/>
    <w:rsid w:val="00BF7AEE"/>
    <w:rsid w:val="00BF7FD6"/>
    <w:rsid w:val="00C004BF"/>
    <w:rsid w:val="00C00667"/>
    <w:rsid w:val="00C01A25"/>
    <w:rsid w:val="00C01BD6"/>
    <w:rsid w:val="00C06032"/>
    <w:rsid w:val="00C076CE"/>
    <w:rsid w:val="00C12F50"/>
    <w:rsid w:val="00C1359C"/>
    <w:rsid w:val="00C13D6F"/>
    <w:rsid w:val="00C14A4F"/>
    <w:rsid w:val="00C14B9F"/>
    <w:rsid w:val="00C1508F"/>
    <w:rsid w:val="00C16FE9"/>
    <w:rsid w:val="00C17234"/>
    <w:rsid w:val="00C20242"/>
    <w:rsid w:val="00C218E7"/>
    <w:rsid w:val="00C22B2E"/>
    <w:rsid w:val="00C23049"/>
    <w:rsid w:val="00C23DC9"/>
    <w:rsid w:val="00C248D2"/>
    <w:rsid w:val="00C25918"/>
    <w:rsid w:val="00C25961"/>
    <w:rsid w:val="00C25C87"/>
    <w:rsid w:val="00C34ECA"/>
    <w:rsid w:val="00C4113A"/>
    <w:rsid w:val="00C479B0"/>
    <w:rsid w:val="00C47F9B"/>
    <w:rsid w:val="00C50DCB"/>
    <w:rsid w:val="00C51EBE"/>
    <w:rsid w:val="00C5397B"/>
    <w:rsid w:val="00C539BC"/>
    <w:rsid w:val="00C55053"/>
    <w:rsid w:val="00C550D0"/>
    <w:rsid w:val="00C56002"/>
    <w:rsid w:val="00C56B01"/>
    <w:rsid w:val="00C56CFA"/>
    <w:rsid w:val="00C65D2C"/>
    <w:rsid w:val="00C66D42"/>
    <w:rsid w:val="00C66E88"/>
    <w:rsid w:val="00C67B3D"/>
    <w:rsid w:val="00C70B77"/>
    <w:rsid w:val="00C72E05"/>
    <w:rsid w:val="00C7377F"/>
    <w:rsid w:val="00C74598"/>
    <w:rsid w:val="00C75A5C"/>
    <w:rsid w:val="00C76570"/>
    <w:rsid w:val="00C766E7"/>
    <w:rsid w:val="00C774C8"/>
    <w:rsid w:val="00C800D0"/>
    <w:rsid w:val="00C80CBA"/>
    <w:rsid w:val="00C8241E"/>
    <w:rsid w:val="00C8327A"/>
    <w:rsid w:val="00C86F79"/>
    <w:rsid w:val="00C87BB4"/>
    <w:rsid w:val="00C87BF6"/>
    <w:rsid w:val="00C90B46"/>
    <w:rsid w:val="00C90BB7"/>
    <w:rsid w:val="00C90DD5"/>
    <w:rsid w:val="00C9167C"/>
    <w:rsid w:val="00C920BA"/>
    <w:rsid w:val="00C93191"/>
    <w:rsid w:val="00C934FC"/>
    <w:rsid w:val="00C93778"/>
    <w:rsid w:val="00C96AF9"/>
    <w:rsid w:val="00C96DC0"/>
    <w:rsid w:val="00C97FDF"/>
    <w:rsid w:val="00CA2CE3"/>
    <w:rsid w:val="00CA346D"/>
    <w:rsid w:val="00CA36E5"/>
    <w:rsid w:val="00CA4396"/>
    <w:rsid w:val="00CA56FE"/>
    <w:rsid w:val="00CA5F87"/>
    <w:rsid w:val="00CA7E6C"/>
    <w:rsid w:val="00CB1606"/>
    <w:rsid w:val="00CB2FA4"/>
    <w:rsid w:val="00CB78AD"/>
    <w:rsid w:val="00CB79FC"/>
    <w:rsid w:val="00CC0AC1"/>
    <w:rsid w:val="00CC1079"/>
    <w:rsid w:val="00CC118E"/>
    <w:rsid w:val="00CC1A1E"/>
    <w:rsid w:val="00CC1CF2"/>
    <w:rsid w:val="00CC2BDA"/>
    <w:rsid w:val="00CC3994"/>
    <w:rsid w:val="00CC643D"/>
    <w:rsid w:val="00CD363B"/>
    <w:rsid w:val="00CD5671"/>
    <w:rsid w:val="00CD5912"/>
    <w:rsid w:val="00CD720F"/>
    <w:rsid w:val="00CD7D28"/>
    <w:rsid w:val="00CE0CEF"/>
    <w:rsid w:val="00CE1FBC"/>
    <w:rsid w:val="00CE394B"/>
    <w:rsid w:val="00CE485E"/>
    <w:rsid w:val="00CE5B01"/>
    <w:rsid w:val="00CE7963"/>
    <w:rsid w:val="00CF1D40"/>
    <w:rsid w:val="00CF24E6"/>
    <w:rsid w:val="00CF3F26"/>
    <w:rsid w:val="00CF620E"/>
    <w:rsid w:val="00CF71DD"/>
    <w:rsid w:val="00D023CE"/>
    <w:rsid w:val="00D0369C"/>
    <w:rsid w:val="00D036A2"/>
    <w:rsid w:val="00D0412E"/>
    <w:rsid w:val="00D042E7"/>
    <w:rsid w:val="00D044C0"/>
    <w:rsid w:val="00D05549"/>
    <w:rsid w:val="00D06BF4"/>
    <w:rsid w:val="00D06C85"/>
    <w:rsid w:val="00D0743A"/>
    <w:rsid w:val="00D07C31"/>
    <w:rsid w:val="00D10048"/>
    <w:rsid w:val="00D10EA1"/>
    <w:rsid w:val="00D11D26"/>
    <w:rsid w:val="00D13F8E"/>
    <w:rsid w:val="00D1466C"/>
    <w:rsid w:val="00D14DEF"/>
    <w:rsid w:val="00D1599C"/>
    <w:rsid w:val="00D16BE0"/>
    <w:rsid w:val="00D16E61"/>
    <w:rsid w:val="00D20195"/>
    <w:rsid w:val="00D21DA8"/>
    <w:rsid w:val="00D25F47"/>
    <w:rsid w:val="00D2644F"/>
    <w:rsid w:val="00D271D9"/>
    <w:rsid w:val="00D300E8"/>
    <w:rsid w:val="00D35AC5"/>
    <w:rsid w:val="00D405FE"/>
    <w:rsid w:val="00D40FF7"/>
    <w:rsid w:val="00D413B0"/>
    <w:rsid w:val="00D41AE4"/>
    <w:rsid w:val="00D426D5"/>
    <w:rsid w:val="00D43441"/>
    <w:rsid w:val="00D44984"/>
    <w:rsid w:val="00D452F9"/>
    <w:rsid w:val="00D470E8"/>
    <w:rsid w:val="00D477FD"/>
    <w:rsid w:val="00D4793C"/>
    <w:rsid w:val="00D50B29"/>
    <w:rsid w:val="00D51DD6"/>
    <w:rsid w:val="00D53545"/>
    <w:rsid w:val="00D53A51"/>
    <w:rsid w:val="00D53DC9"/>
    <w:rsid w:val="00D560DB"/>
    <w:rsid w:val="00D56C56"/>
    <w:rsid w:val="00D573C0"/>
    <w:rsid w:val="00D610C1"/>
    <w:rsid w:val="00D61225"/>
    <w:rsid w:val="00D61593"/>
    <w:rsid w:val="00D66A37"/>
    <w:rsid w:val="00D67459"/>
    <w:rsid w:val="00D67FDB"/>
    <w:rsid w:val="00D71533"/>
    <w:rsid w:val="00D7298C"/>
    <w:rsid w:val="00D7369C"/>
    <w:rsid w:val="00D7612D"/>
    <w:rsid w:val="00D77D63"/>
    <w:rsid w:val="00D77DA5"/>
    <w:rsid w:val="00D81D15"/>
    <w:rsid w:val="00D8541E"/>
    <w:rsid w:val="00D85505"/>
    <w:rsid w:val="00D85CBC"/>
    <w:rsid w:val="00D87CC1"/>
    <w:rsid w:val="00D90035"/>
    <w:rsid w:val="00D92BFF"/>
    <w:rsid w:val="00D938AD"/>
    <w:rsid w:val="00D94E67"/>
    <w:rsid w:val="00D95036"/>
    <w:rsid w:val="00D95F6A"/>
    <w:rsid w:val="00D968C5"/>
    <w:rsid w:val="00DA0471"/>
    <w:rsid w:val="00DA14DC"/>
    <w:rsid w:val="00DA170E"/>
    <w:rsid w:val="00DA445C"/>
    <w:rsid w:val="00DA661B"/>
    <w:rsid w:val="00DA6F5E"/>
    <w:rsid w:val="00DB0F10"/>
    <w:rsid w:val="00DB199F"/>
    <w:rsid w:val="00DB210A"/>
    <w:rsid w:val="00DB38F0"/>
    <w:rsid w:val="00DB52F4"/>
    <w:rsid w:val="00DB6314"/>
    <w:rsid w:val="00DC15D4"/>
    <w:rsid w:val="00DC3362"/>
    <w:rsid w:val="00DC52A0"/>
    <w:rsid w:val="00DC6C3B"/>
    <w:rsid w:val="00DC7A46"/>
    <w:rsid w:val="00DD0464"/>
    <w:rsid w:val="00DD1A8D"/>
    <w:rsid w:val="00DD2A10"/>
    <w:rsid w:val="00DD2ED7"/>
    <w:rsid w:val="00DD30E8"/>
    <w:rsid w:val="00DD74D1"/>
    <w:rsid w:val="00DE0E94"/>
    <w:rsid w:val="00DE1128"/>
    <w:rsid w:val="00DE1239"/>
    <w:rsid w:val="00DE1F4D"/>
    <w:rsid w:val="00DE3BAF"/>
    <w:rsid w:val="00DE4314"/>
    <w:rsid w:val="00DE44DF"/>
    <w:rsid w:val="00DE6566"/>
    <w:rsid w:val="00DE6E18"/>
    <w:rsid w:val="00DE7A71"/>
    <w:rsid w:val="00DF094B"/>
    <w:rsid w:val="00DF10DC"/>
    <w:rsid w:val="00DF18CC"/>
    <w:rsid w:val="00DF262B"/>
    <w:rsid w:val="00DF2D11"/>
    <w:rsid w:val="00DF597B"/>
    <w:rsid w:val="00DF65AA"/>
    <w:rsid w:val="00DF669F"/>
    <w:rsid w:val="00E00DDC"/>
    <w:rsid w:val="00E01EA0"/>
    <w:rsid w:val="00E01F8D"/>
    <w:rsid w:val="00E03C32"/>
    <w:rsid w:val="00E03CCB"/>
    <w:rsid w:val="00E03D75"/>
    <w:rsid w:val="00E0411A"/>
    <w:rsid w:val="00E0467D"/>
    <w:rsid w:val="00E05367"/>
    <w:rsid w:val="00E11185"/>
    <w:rsid w:val="00E126B8"/>
    <w:rsid w:val="00E1334E"/>
    <w:rsid w:val="00E13D53"/>
    <w:rsid w:val="00E1553B"/>
    <w:rsid w:val="00E15AB3"/>
    <w:rsid w:val="00E2233E"/>
    <w:rsid w:val="00E22FE5"/>
    <w:rsid w:val="00E24EA4"/>
    <w:rsid w:val="00E30D42"/>
    <w:rsid w:val="00E30E59"/>
    <w:rsid w:val="00E3433A"/>
    <w:rsid w:val="00E349CB"/>
    <w:rsid w:val="00E361A3"/>
    <w:rsid w:val="00E3661B"/>
    <w:rsid w:val="00E412C4"/>
    <w:rsid w:val="00E41E78"/>
    <w:rsid w:val="00E42C29"/>
    <w:rsid w:val="00E43616"/>
    <w:rsid w:val="00E4378A"/>
    <w:rsid w:val="00E43B11"/>
    <w:rsid w:val="00E43DDB"/>
    <w:rsid w:val="00E44707"/>
    <w:rsid w:val="00E451E1"/>
    <w:rsid w:val="00E458F4"/>
    <w:rsid w:val="00E45FAF"/>
    <w:rsid w:val="00E47006"/>
    <w:rsid w:val="00E47517"/>
    <w:rsid w:val="00E4777B"/>
    <w:rsid w:val="00E47916"/>
    <w:rsid w:val="00E47C67"/>
    <w:rsid w:val="00E50FB7"/>
    <w:rsid w:val="00E519CF"/>
    <w:rsid w:val="00E53955"/>
    <w:rsid w:val="00E548BC"/>
    <w:rsid w:val="00E57116"/>
    <w:rsid w:val="00E57A54"/>
    <w:rsid w:val="00E60024"/>
    <w:rsid w:val="00E61568"/>
    <w:rsid w:val="00E650DC"/>
    <w:rsid w:val="00E67249"/>
    <w:rsid w:val="00E6785B"/>
    <w:rsid w:val="00E67935"/>
    <w:rsid w:val="00E7041A"/>
    <w:rsid w:val="00E713D3"/>
    <w:rsid w:val="00E714CC"/>
    <w:rsid w:val="00E72EE1"/>
    <w:rsid w:val="00E7358F"/>
    <w:rsid w:val="00E743F9"/>
    <w:rsid w:val="00E74A2E"/>
    <w:rsid w:val="00E74E75"/>
    <w:rsid w:val="00E74FBB"/>
    <w:rsid w:val="00E761B4"/>
    <w:rsid w:val="00E76BA2"/>
    <w:rsid w:val="00E77EAB"/>
    <w:rsid w:val="00E802E2"/>
    <w:rsid w:val="00E816E1"/>
    <w:rsid w:val="00E82017"/>
    <w:rsid w:val="00E83058"/>
    <w:rsid w:val="00E9003B"/>
    <w:rsid w:val="00E92C41"/>
    <w:rsid w:val="00E93DDA"/>
    <w:rsid w:val="00E9487A"/>
    <w:rsid w:val="00E95E9C"/>
    <w:rsid w:val="00E9784B"/>
    <w:rsid w:val="00E97C19"/>
    <w:rsid w:val="00EA061D"/>
    <w:rsid w:val="00EA06B6"/>
    <w:rsid w:val="00EA0F7C"/>
    <w:rsid w:val="00EA2670"/>
    <w:rsid w:val="00EA3A85"/>
    <w:rsid w:val="00EA3DBB"/>
    <w:rsid w:val="00EA4109"/>
    <w:rsid w:val="00EA4382"/>
    <w:rsid w:val="00EA64E8"/>
    <w:rsid w:val="00EA7998"/>
    <w:rsid w:val="00EA7EC0"/>
    <w:rsid w:val="00EB086D"/>
    <w:rsid w:val="00EB0AB3"/>
    <w:rsid w:val="00EB2CF7"/>
    <w:rsid w:val="00EB688D"/>
    <w:rsid w:val="00EC06C7"/>
    <w:rsid w:val="00EC1F0C"/>
    <w:rsid w:val="00EC3280"/>
    <w:rsid w:val="00EC3511"/>
    <w:rsid w:val="00EC4A8F"/>
    <w:rsid w:val="00ED0484"/>
    <w:rsid w:val="00ED0E28"/>
    <w:rsid w:val="00ED197A"/>
    <w:rsid w:val="00ED216A"/>
    <w:rsid w:val="00ED3960"/>
    <w:rsid w:val="00ED487F"/>
    <w:rsid w:val="00ED4C0B"/>
    <w:rsid w:val="00ED6879"/>
    <w:rsid w:val="00ED7BCB"/>
    <w:rsid w:val="00EE2447"/>
    <w:rsid w:val="00EE33B4"/>
    <w:rsid w:val="00EE389F"/>
    <w:rsid w:val="00EE3F12"/>
    <w:rsid w:val="00EE4CE2"/>
    <w:rsid w:val="00EE71D7"/>
    <w:rsid w:val="00EF2C2F"/>
    <w:rsid w:val="00EF3A6C"/>
    <w:rsid w:val="00EF5669"/>
    <w:rsid w:val="00EF6C4A"/>
    <w:rsid w:val="00F017EE"/>
    <w:rsid w:val="00F040A1"/>
    <w:rsid w:val="00F040B6"/>
    <w:rsid w:val="00F05DAE"/>
    <w:rsid w:val="00F06D38"/>
    <w:rsid w:val="00F111D4"/>
    <w:rsid w:val="00F1123A"/>
    <w:rsid w:val="00F113BA"/>
    <w:rsid w:val="00F115F0"/>
    <w:rsid w:val="00F11E94"/>
    <w:rsid w:val="00F135F5"/>
    <w:rsid w:val="00F16172"/>
    <w:rsid w:val="00F20F71"/>
    <w:rsid w:val="00F22C2B"/>
    <w:rsid w:val="00F24B80"/>
    <w:rsid w:val="00F24C36"/>
    <w:rsid w:val="00F2577E"/>
    <w:rsid w:val="00F27A6B"/>
    <w:rsid w:val="00F304C2"/>
    <w:rsid w:val="00F30BD5"/>
    <w:rsid w:val="00F314F0"/>
    <w:rsid w:val="00F317DF"/>
    <w:rsid w:val="00F348FF"/>
    <w:rsid w:val="00F34E3F"/>
    <w:rsid w:val="00F35F78"/>
    <w:rsid w:val="00F36B04"/>
    <w:rsid w:val="00F36EC5"/>
    <w:rsid w:val="00F410BF"/>
    <w:rsid w:val="00F41494"/>
    <w:rsid w:val="00F418D7"/>
    <w:rsid w:val="00F421DD"/>
    <w:rsid w:val="00F42EE2"/>
    <w:rsid w:val="00F4472E"/>
    <w:rsid w:val="00F45C2B"/>
    <w:rsid w:val="00F46750"/>
    <w:rsid w:val="00F47E0C"/>
    <w:rsid w:val="00F53754"/>
    <w:rsid w:val="00F53C17"/>
    <w:rsid w:val="00F55082"/>
    <w:rsid w:val="00F55384"/>
    <w:rsid w:val="00F554B2"/>
    <w:rsid w:val="00F55589"/>
    <w:rsid w:val="00F56019"/>
    <w:rsid w:val="00F56330"/>
    <w:rsid w:val="00F5665D"/>
    <w:rsid w:val="00F572EF"/>
    <w:rsid w:val="00F603DB"/>
    <w:rsid w:val="00F6052E"/>
    <w:rsid w:val="00F6069A"/>
    <w:rsid w:val="00F60822"/>
    <w:rsid w:val="00F61BFE"/>
    <w:rsid w:val="00F63AA2"/>
    <w:rsid w:val="00F63FC9"/>
    <w:rsid w:val="00F66682"/>
    <w:rsid w:val="00F66AFE"/>
    <w:rsid w:val="00F67E45"/>
    <w:rsid w:val="00F71A47"/>
    <w:rsid w:val="00F720DB"/>
    <w:rsid w:val="00F72320"/>
    <w:rsid w:val="00F72596"/>
    <w:rsid w:val="00F72B20"/>
    <w:rsid w:val="00F770D3"/>
    <w:rsid w:val="00F77444"/>
    <w:rsid w:val="00F775BE"/>
    <w:rsid w:val="00F77DA9"/>
    <w:rsid w:val="00F80951"/>
    <w:rsid w:val="00F822D7"/>
    <w:rsid w:val="00F82654"/>
    <w:rsid w:val="00F85173"/>
    <w:rsid w:val="00F85A4A"/>
    <w:rsid w:val="00F909B4"/>
    <w:rsid w:val="00F91BD2"/>
    <w:rsid w:val="00F92456"/>
    <w:rsid w:val="00F94227"/>
    <w:rsid w:val="00F95030"/>
    <w:rsid w:val="00F9514E"/>
    <w:rsid w:val="00F95C0A"/>
    <w:rsid w:val="00FA12A7"/>
    <w:rsid w:val="00FA251B"/>
    <w:rsid w:val="00FA2AB4"/>
    <w:rsid w:val="00FA3CA1"/>
    <w:rsid w:val="00FA46F1"/>
    <w:rsid w:val="00FA522B"/>
    <w:rsid w:val="00FA628E"/>
    <w:rsid w:val="00FA76CF"/>
    <w:rsid w:val="00FA7AA8"/>
    <w:rsid w:val="00FA7C6D"/>
    <w:rsid w:val="00FB163D"/>
    <w:rsid w:val="00FB31F9"/>
    <w:rsid w:val="00FB357A"/>
    <w:rsid w:val="00FB49F2"/>
    <w:rsid w:val="00FB4FE5"/>
    <w:rsid w:val="00FB7F47"/>
    <w:rsid w:val="00FC02B3"/>
    <w:rsid w:val="00FC186C"/>
    <w:rsid w:val="00FC3530"/>
    <w:rsid w:val="00FC3AE9"/>
    <w:rsid w:val="00FC5039"/>
    <w:rsid w:val="00FC60E4"/>
    <w:rsid w:val="00FC69C1"/>
    <w:rsid w:val="00FC6BE8"/>
    <w:rsid w:val="00FD1023"/>
    <w:rsid w:val="00FD1494"/>
    <w:rsid w:val="00FD3B0C"/>
    <w:rsid w:val="00FD53CB"/>
    <w:rsid w:val="00FD6EC8"/>
    <w:rsid w:val="00FD75DD"/>
    <w:rsid w:val="00FD77A8"/>
    <w:rsid w:val="00FE01C0"/>
    <w:rsid w:val="00FE357C"/>
    <w:rsid w:val="00FE421E"/>
    <w:rsid w:val="00FE52ED"/>
    <w:rsid w:val="00FE6BA3"/>
    <w:rsid w:val="00FF0947"/>
    <w:rsid w:val="00FF0E94"/>
    <w:rsid w:val="00FF2041"/>
    <w:rsid w:val="00FF2448"/>
    <w:rsid w:val="00FF4075"/>
    <w:rsid w:val="00FF6438"/>
    <w:rsid w:val="00FF71A9"/>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0F8E5"/>
  <w15:docId w15:val="{F43274A2-9E78-4E45-90D4-F1F99E23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F1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CB2C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B2C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qFormat/>
    <w:rsid w:val="00AD2F10"/>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9Char">
    <w:name w:val="Heading 9 Char"/>
    <w:basedOn w:val="DefaultParagraphFont"/>
    <w:link w:val="Heading9"/>
    <w:rsid w:val="00AD2F10"/>
    <w:rPr>
      <w:rFonts w:ascii="Arial" w:eastAsia="Times New Roman" w:hAnsi="Arial" w:cs="Arial"/>
    </w:rPr>
  </w:style>
  <w:style w:type="paragraph" w:styleId="Subtitle">
    <w:name w:val="Subtitle"/>
    <w:basedOn w:val="Normal"/>
    <w:next w:val="Normal"/>
    <w:link w:val="SubtitleChar"/>
    <w:uiPriority w:val="11"/>
    <w:qFormat/>
    <w:pPr>
      <w:jc w:val="center"/>
    </w:pPr>
    <w:rPr>
      <w:b/>
    </w:rPr>
  </w:style>
  <w:style w:type="character" w:customStyle="1" w:styleId="SubtitleChar">
    <w:name w:val="Subtitle Char"/>
    <w:basedOn w:val="DefaultParagraphFont"/>
    <w:link w:val="Subtitle"/>
    <w:rsid w:val="00AD2F10"/>
    <w:rPr>
      <w:rFonts w:ascii=".VnTimeH" w:eastAsia="Times New Roman" w:hAnsi=".VnTimeH" w:cs=".VnTimeH"/>
      <w:b/>
      <w:bCs/>
      <w:sz w:val="28"/>
      <w:szCs w:val="28"/>
    </w:rPr>
  </w:style>
  <w:style w:type="paragraph" w:styleId="BodyTextIndent">
    <w:name w:val="Body Text Indent"/>
    <w:basedOn w:val="Normal"/>
    <w:link w:val="BodyTextIndentChar"/>
    <w:unhideWhenUsed/>
    <w:rsid w:val="00AD2F10"/>
    <w:pPr>
      <w:ind w:right="-291" w:firstLine="720"/>
      <w:jc w:val="both"/>
    </w:pPr>
    <w:rPr>
      <w:rFonts w:ascii=".VnTime" w:hAnsi=".VnTime"/>
      <w:szCs w:val="20"/>
    </w:rPr>
  </w:style>
  <w:style w:type="character" w:customStyle="1" w:styleId="BodyTextIndentChar">
    <w:name w:val="Body Text Indent Char"/>
    <w:basedOn w:val="DefaultParagraphFont"/>
    <w:link w:val="BodyTextIndent"/>
    <w:rsid w:val="00AD2F10"/>
    <w:rPr>
      <w:rFonts w:ascii=".VnTime" w:eastAsia="Times New Roman" w:hAnsi=".VnTime" w:cs="Times New Roman"/>
      <w:sz w:val="28"/>
      <w:szCs w:val="20"/>
    </w:rPr>
  </w:style>
  <w:style w:type="character" w:styleId="Hyperlink">
    <w:name w:val="Hyperlink"/>
    <w:basedOn w:val="DefaultParagraphFont"/>
    <w:uiPriority w:val="99"/>
    <w:unhideWhenUsed/>
    <w:rsid w:val="00AD2F10"/>
    <w:rPr>
      <w:color w:val="0000FF"/>
      <w:u w:val="single"/>
    </w:rPr>
  </w:style>
  <w:style w:type="paragraph" w:customStyle="1" w:styleId="EMPTYCELLSTYLE">
    <w:name w:val="EMPTY_CELL_STYLE"/>
    <w:qFormat/>
    <w:rsid w:val="00285B7B"/>
    <w:rPr>
      <w:sz w:val="1"/>
      <w:szCs w:val="20"/>
    </w:rPr>
  </w:style>
  <w:style w:type="paragraph" w:styleId="Header">
    <w:name w:val="header"/>
    <w:basedOn w:val="Normal"/>
    <w:link w:val="HeaderChar"/>
    <w:uiPriority w:val="99"/>
    <w:unhideWhenUsed/>
    <w:rsid w:val="005B0E72"/>
    <w:pPr>
      <w:tabs>
        <w:tab w:val="center" w:pos="4680"/>
        <w:tab w:val="right" w:pos="9360"/>
      </w:tabs>
    </w:pPr>
  </w:style>
  <w:style w:type="character" w:customStyle="1" w:styleId="HeaderChar">
    <w:name w:val="Header Char"/>
    <w:basedOn w:val="DefaultParagraphFont"/>
    <w:link w:val="Header"/>
    <w:uiPriority w:val="99"/>
    <w:rsid w:val="005B0E7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B0E72"/>
    <w:pPr>
      <w:tabs>
        <w:tab w:val="center" w:pos="4680"/>
        <w:tab w:val="right" w:pos="9360"/>
      </w:tabs>
    </w:pPr>
  </w:style>
  <w:style w:type="character" w:customStyle="1" w:styleId="FooterChar">
    <w:name w:val="Footer Char"/>
    <w:basedOn w:val="DefaultParagraphFont"/>
    <w:link w:val="Footer"/>
    <w:uiPriority w:val="99"/>
    <w:rsid w:val="005B0E72"/>
    <w:rPr>
      <w:rFonts w:ascii="Times New Roman" w:eastAsia="Times New Roman" w:hAnsi="Times New Roman" w:cs="Times New Roman"/>
      <w:sz w:val="28"/>
      <w:szCs w:val="28"/>
    </w:rPr>
  </w:style>
  <w:style w:type="table" w:styleId="TableGrid">
    <w:name w:val="Table Grid"/>
    <w:basedOn w:val="TableNormal"/>
    <w:uiPriority w:val="39"/>
    <w:rsid w:val="007456D6"/>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Footnote Text Char Char Char Char Char Char Ch Char Char Char,fn,fn Char,Char Char13,f, Char Char,ft,single space,footnote text,Geneva 9,ADB,Зн"/>
    <w:basedOn w:val="Normal"/>
    <w:link w:val="FootnoteTextChar"/>
    <w:uiPriority w:val="99"/>
    <w:qFormat/>
    <w:rsid w:val="007456D6"/>
    <w:rPr>
      <w:rFonts w:eastAsia="Calibri"/>
      <w:sz w:val="24"/>
      <w:szCs w:val="24"/>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7456D6"/>
    <w:rPr>
      <w:rFonts w:ascii="Times New Roman" w:eastAsia="Calibri" w:hAnsi="Times New Roman" w:cs="Times New Roman"/>
      <w:sz w:val="24"/>
      <w:szCs w:val="24"/>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10 p,4_,4"/>
    <w:basedOn w:val="DefaultParagraphFont"/>
    <w:link w:val="RefChar"/>
    <w:qFormat/>
    <w:rsid w:val="007456D6"/>
    <w:rPr>
      <w:vertAlign w:val="superscript"/>
    </w:rPr>
  </w:style>
  <w:style w:type="paragraph" w:styleId="NormalWeb">
    <w:name w:val="Normal (Web)"/>
    <w:basedOn w:val="Normal"/>
    <w:uiPriority w:val="99"/>
    <w:unhideWhenUsed/>
    <w:rsid w:val="007456D6"/>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CB2C00"/>
    <w:rPr>
      <w:rFonts w:asciiTheme="majorHAnsi" w:eastAsiaTheme="majorEastAsia" w:hAnsiTheme="majorHAnsi" w:cstheme="majorBidi"/>
      <w:b/>
      <w:bCs/>
      <w:color w:val="4F81BD" w:themeColor="accent1"/>
      <w:sz w:val="28"/>
      <w:szCs w:val="28"/>
    </w:rPr>
  </w:style>
  <w:style w:type="paragraph" w:styleId="BodyText2">
    <w:name w:val="Body Text 2"/>
    <w:basedOn w:val="Normal"/>
    <w:link w:val="BodyText2Char"/>
    <w:uiPriority w:val="99"/>
    <w:semiHidden/>
    <w:unhideWhenUsed/>
    <w:rsid w:val="00CB2C00"/>
    <w:pPr>
      <w:spacing w:after="120" w:line="480" w:lineRule="auto"/>
    </w:pPr>
  </w:style>
  <w:style w:type="character" w:customStyle="1" w:styleId="BodyText2Char">
    <w:name w:val="Body Text 2 Char"/>
    <w:basedOn w:val="DefaultParagraphFont"/>
    <w:link w:val="BodyText2"/>
    <w:uiPriority w:val="99"/>
    <w:semiHidden/>
    <w:rsid w:val="00CB2C00"/>
    <w:rPr>
      <w:rFonts w:ascii="Times New Roman" w:eastAsia="Times New Roman" w:hAnsi="Times New Roman" w:cs="Times New Roman"/>
      <w:sz w:val="28"/>
      <w:szCs w:val="28"/>
    </w:rPr>
  </w:style>
  <w:style w:type="paragraph" w:styleId="ListParagraph">
    <w:name w:val="List Paragraph"/>
    <w:aliases w:val="Hình"/>
    <w:basedOn w:val="Normal"/>
    <w:uiPriority w:val="34"/>
    <w:qFormat/>
    <w:rsid w:val="00CB2C00"/>
    <w:pPr>
      <w:ind w:left="720"/>
      <w:contextualSpacing/>
    </w:pPr>
  </w:style>
  <w:style w:type="paragraph" w:customStyle="1" w:styleId="Textbody">
    <w:name w:val="Text body"/>
    <w:basedOn w:val="Normal"/>
    <w:link w:val="TextbodyChar"/>
    <w:rsid w:val="00CB2C00"/>
    <w:pPr>
      <w:widowControl w:val="0"/>
      <w:suppressAutoHyphens/>
      <w:autoSpaceDN w:val="0"/>
      <w:spacing w:after="120"/>
      <w:jc w:val="both"/>
      <w:textAlignment w:val="baseline"/>
    </w:pPr>
    <w:rPr>
      <w:rFonts w:eastAsia="WenQuanYi Micro Hei" w:cs="Lohit Hindi"/>
      <w:kern w:val="3"/>
      <w:sz w:val="26"/>
      <w:szCs w:val="24"/>
      <w:lang w:eastAsia="zh-CN" w:bidi="hi-IN"/>
    </w:rPr>
  </w:style>
  <w:style w:type="paragraph" w:customStyle="1" w:styleId="Heading40">
    <w:name w:val="Heading4"/>
    <w:basedOn w:val="Heading4"/>
    <w:next w:val="Heading4"/>
    <w:link w:val="Heading4Char0"/>
    <w:autoRedefine/>
    <w:qFormat/>
    <w:rsid w:val="00CB2C00"/>
    <w:pPr>
      <w:keepLines w:val="0"/>
      <w:widowControl w:val="0"/>
      <w:numPr>
        <w:ilvl w:val="3"/>
      </w:numPr>
      <w:suppressAutoHyphens/>
      <w:autoSpaceDN w:val="0"/>
      <w:spacing w:before="0"/>
      <w:ind w:left="720"/>
      <w:jc w:val="both"/>
      <w:textAlignment w:val="baseline"/>
    </w:pPr>
    <w:rPr>
      <w:rFonts w:ascii="Times New Roman" w:eastAsia="WenQuanYi Micro Hei" w:hAnsi="Times New Roman" w:cs="Times New Roman"/>
      <w:i w:val="0"/>
      <w:color w:val="auto"/>
      <w:kern w:val="3"/>
      <w:lang w:eastAsia="zh-CN" w:bidi="hi-IN"/>
    </w:rPr>
  </w:style>
  <w:style w:type="character" w:customStyle="1" w:styleId="TextbodyChar">
    <w:name w:val="Text body Char"/>
    <w:basedOn w:val="DefaultParagraphFont"/>
    <w:link w:val="Textbody"/>
    <w:rsid w:val="00CB2C00"/>
    <w:rPr>
      <w:rFonts w:ascii="Times New Roman" w:eastAsia="WenQuanYi Micro Hei" w:hAnsi="Times New Roman" w:cs="Lohit Hindi"/>
      <w:kern w:val="3"/>
      <w:sz w:val="26"/>
      <w:szCs w:val="24"/>
      <w:lang w:eastAsia="zh-CN" w:bidi="hi-IN"/>
    </w:rPr>
  </w:style>
  <w:style w:type="character" w:customStyle="1" w:styleId="Heading4Char0">
    <w:name w:val="Heading4 Char"/>
    <w:basedOn w:val="TextbodyChar"/>
    <w:link w:val="Heading40"/>
    <w:rsid w:val="00CB2C00"/>
    <w:rPr>
      <w:rFonts w:ascii="Times New Roman" w:eastAsia="WenQuanYi Micro Hei" w:hAnsi="Times New Roman" w:cs="Times New Roman"/>
      <w:b/>
      <w:bCs/>
      <w:iCs/>
      <w:kern w:val="3"/>
      <w:sz w:val="28"/>
      <w:szCs w:val="28"/>
      <w:lang w:eastAsia="zh-CN" w:bidi="hi-IN"/>
    </w:rPr>
  </w:style>
  <w:style w:type="character" w:customStyle="1" w:styleId="Heading4Char">
    <w:name w:val="Heading 4 Char"/>
    <w:basedOn w:val="DefaultParagraphFont"/>
    <w:link w:val="Heading4"/>
    <w:uiPriority w:val="9"/>
    <w:rsid w:val="00CB2C00"/>
    <w:rPr>
      <w:rFonts w:asciiTheme="majorHAnsi" w:eastAsiaTheme="majorEastAsia" w:hAnsiTheme="majorHAnsi" w:cstheme="majorBidi"/>
      <w:b/>
      <w:bCs/>
      <w:i/>
      <w:iCs/>
      <w:color w:val="4F81BD" w:themeColor="accent1"/>
      <w:sz w:val="28"/>
      <w:szCs w:val="28"/>
    </w:rPr>
  </w:style>
  <w:style w:type="paragraph" w:styleId="BalloonText">
    <w:name w:val="Balloon Text"/>
    <w:basedOn w:val="Normal"/>
    <w:link w:val="BalloonTextChar"/>
    <w:semiHidden/>
    <w:unhideWhenUsed/>
    <w:rsid w:val="00CB2C00"/>
    <w:rPr>
      <w:rFonts w:ascii="Tahoma" w:hAnsi="Tahoma" w:cs="Tahoma"/>
      <w:sz w:val="16"/>
      <w:szCs w:val="16"/>
    </w:rPr>
  </w:style>
  <w:style w:type="character" w:customStyle="1" w:styleId="BalloonTextChar">
    <w:name w:val="Balloon Text Char"/>
    <w:basedOn w:val="DefaultParagraphFont"/>
    <w:link w:val="BalloonText"/>
    <w:semiHidden/>
    <w:rsid w:val="00CB2C0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53FC"/>
    <w:rPr>
      <w:sz w:val="16"/>
      <w:szCs w:val="16"/>
    </w:rPr>
  </w:style>
  <w:style w:type="paragraph" w:styleId="CommentText">
    <w:name w:val="annotation text"/>
    <w:basedOn w:val="Normal"/>
    <w:link w:val="CommentTextChar"/>
    <w:uiPriority w:val="99"/>
    <w:unhideWhenUsed/>
    <w:qFormat/>
    <w:rsid w:val="001B53FC"/>
    <w:rPr>
      <w:sz w:val="20"/>
      <w:szCs w:val="20"/>
    </w:rPr>
  </w:style>
  <w:style w:type="character" w:customStyle="1" w:styleId="CommentTextChar">
    <w:name w:val="Comment Text Char"/>
    <w:basedOn w:val="DefaultParagraphFont"/>
    <w:link w:val="CommentText"/>
    <w:uiPriority w:val="99"/>
    <w:qFormat/>
    <w:rsid w:val="001B53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53FC"/>
    <w:rPr>
      <w:b/>
      <w:bCs/>
    </w:rPr>
  </w:style>
  <w:style w:type="character" w:customStyle="1" w:styleId="CommentSubjectChar">
    <w:name w:val="Comment Subject Char"/>
    <w:basedOn w:val="CommentTextChar"/>
    <w:link w:val="CommentSubject"/>
    <w:uiPriority w:val="99"/>
    <w:semiHidden/>
    <w:rsid w:val="001B53FC"/>
    <w:rPr>
      <w:rFonts w:ascii="Times New Roman" w:eastAsia="Times New Roman" w:hAnsi="Times New Roman" w:cs="Times New Roman"/>
      <w:b/>
      <w:bCs/>
      <w:sz w:val="20"/>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C7524D"/>
    <w:pPr>
      <w:spacing w:after="160" w:line="240" w:lineRule="exact"/>
    </w:pPr>
    <w:rPr>
      <w:rFonts w:asciiTheme="minorHAnsi" w:eastAsiaTheme="minorHAnsi" w:hAnsiTheme="minorHAnsi" w:cstheme="minorBidi"/>
      <w:sz w:val="22"/>
      <w:szCs w:val="22"/>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122083"/>
    <w:pPr>
      <w:spacing w:after="160" w:line="240" w:lineRule="exact"/>
    </w:pPr>
    <w:rPr>
      <w:sz w:val="20"/>
      <w:szCs w:val="20"/>
      <w:vertAlign w:val="superscript"/>
    </w:rPr>
  </w:style>
  <w:style w:type="character" w:customStyle="1" w:styleId="text">
    <w:name w:val="text"/>
    <w:rsid w:val="006E3EA3"/>
  </w:style>
  <w:style w:type="character" w:customStyle="1" w:styleId="UnresolvedMention1">
    <w:name w:val="Unresolved Mention1"/>
    <w:basedOn w:val="DefaultParagraphFont"/>
    <w:uiPriority w:val="99"/>
    <w:semiHidden/>
    <w:unhideWhenUsed/>
    <w:rsid w:val="00B704ED"/>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2E3318"/>
    <w:rPr>
      <w:b/>
      <w:bCs/>
    </w:r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E361A3"/>
    <w:pPr>
      <w:spacing w:after="160" w:line="240" w:lineRule="exact"/>
    </w:pPr>
    <w:rPr>
      <w:vertAlign w:val="superscript"/>
    </w:rPr>
  </w:style>
  <w:style w:type="paragraph" w:customStyle="1" w:styleId="Default">
    <w:name w:val="Default"/>
    <w:uiPriority w:val="99"/>
    <w:rsid w:val="00E361A3"/>
    <w:pPr>
      <w:autoSpaceDE w:val="0"/>
      <w:autoSpaceDN w:val="0"/>
      <w:adjustRightInd w:val="0"/>
    </w:pPr>
    <w:rPr>
      <w:rFonts w:eastAsiaTheme="minorHAnsi"/>
      <w:color w:val="000000"/>
      <w:sz w:val="24"/>
      <w:szCs w:val="24"/>
      <w:lang w:val="vi-VN"/>
    </w:rPr>
  </w:style>
  <w:style w:type="character" w:customStyle="1" w:styleId="UnresolvedMention2">
    <w:name w:val="Unresolved Mention2"/>
    <w:basedOn w:val="DefaultParagraphFont"/>
    <w:uiPriority w:val="99"/>
    <w:semiHidden/>
    <w:unhideWhenUsed/>
    <w:rsid w:val="00593BB8"/>
    <w:rPr>
      <w:color w:val="605E5C"/>
      <w:shd w:val="clear" w:color="auto" w:fill="E1DFDD"/>
    </w:rPr>
  </w:style>
  <w:style w:type="character" w:customStyle="1" w:styleId="dieuCharChar">
    <w:name w:val="dieu Char Char"/>
    <w:basedOn w:val="DefaultParagraphFont"/>
    <w:rsid w:val="000C1F78"/>
    <w:rPr>
      <w:b/>
      <w:color w:val="0000FF"/>
      <w:sz w:val="26"/>
      <w:szCs w:val="24"/>
      <w:lang w:val="en-US" w:eastAsia="en-US" w:bidi="ar-SA"/>
    </w:rPr>
  </w:style>
  <w:style w:type="character" w:customStyle="1" w:styleId="headsubmitlevel2">
    <w:name w:val="headsubmitlevel2"/>
    <w:basedOn w:val="DefaultParagraphFont"/>
    <w:rsid w:val="00052D83"/>
  </w:style>
  <w:style w:type="paragraph" w:customStyle="1" w:styleId="Normal2">
    <w:name w:val="Normal2"/>
    <w:uiPriority w:val="99"/>
    <w:rsid w:val="00C8241E"/>
    <w:pPr>
      <w:spacing w:before="100" w:after="100"/>
    </w:pPr>
    <w:rPr>
      <w:szCs w:val="20"/>
      <w:lang w:val="vi-VN" w:eastAsia="vi-VN"/>
    </w:rPr>
  </w:style>
  <w:style w:type="character" w:customStyle="1" w:styleId="normalchar1">
    <w:name w:val="normal__char1"/>
    <w:rsid w:val="00C8241E"/>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6346">
      <w:bodyDiv w:val="1"/>
      <w:marLeft w:val="0"/>
      <w:marRight w:val="0"/>
      <w:marTop w:val="0"/>
      <w:marBottom w:val="0"/>
      <w:divBdr>
        <w:top w:val="none" w:sz="0" w:space="0" w:color="auto"/>
        <w:left w:val="none" w:sz="0" w:space="0" w:color="auto"/>
        <w:bottom w:val="none" w:sz="0" w:space="0" w:color="auto"/>
        <w:right w:val="none" w:sz="0" w:space="0" w:color="auto"/>
      </w:divBdr>
    </w:div>
    <w:div w:id="52513202">
      <w:bodyDiv w:val="1"/>
      <w:marLeft w:val="0"/>
      <w:marRight w:val="0"/>
      <w:marTop w:val="0"/>
      <w:marBottom w:val="0"/>
      <w:divBdr>
        <w:top w:val="none" w:sz="0" w:space="0" w:color="auto"/>
        <w:left w:val="none" w:sz="0" w:space="0" w:color="auto"/>
        <w:bottom w:val="none" w:sz="0" w:space="0" w:color="auto"/>
        <w:right w:val="none" w:sz="0" w:space="0" w:color="auto"/>
      </w:divBdr>
    </w:div>
    <w:div w:id="331685398">
      <w:bodyDiv w:val="1"/>
      <w:marLeft w:val="0"/>
      <w:marRight w:val="0"/>
      <w:marTop w:val="0"/>
      <w:marBottom w:val="0"/>
      <w:divBdr>
        <w:top w:val="none" w:sz="0" w:space="0" w:color="auto"/>
        <w:left w:val="none" w:sz="0" w:space="0" w:color="auto"/>
        <w:bottom w:val="none" w:sz="0" w:space="0" w:color="auto"/>
        <w:right w:val="none" w:sz="0" w:space="0" w:color="auto"/>
      </w:divBdr>
    </w:div>
    <w:div w:id="340662271">
      <w:bodyDiv w:val="1"/>
      <w:marLeft w:val="0"/>
      <w:marRight w:val="0"/>
      <w:marTop w:val="0"/>
      <w:marBottom w:val="0"/>
      <w:divBdr>
        <w:top w:val="none" w:sz="0" w:space="0" w:color="auto"/>
        <w:left w:val="none" w:sz="0" w:space="0" w:color="auto"/>
        <w:bottom w:val="none" w:sz="0" w:space="0" w:color="auto"/>
        <w:right w:val="none" w:sz="0" w:space="0" w:color="auto"/>
      </w:divBdr>
    </w:div>
    <w:div w:id="359941765">
      <w:bodyDiv w:val="1"/>
      <w:marLeft w:val="0"/>
      <w:marRight w:val="0"/>
      <w:marTop w:val="0"/>
      <w:marBottom w:val="0"/>
      <w:divBdr>
        <w:top w:val="none" w:sz="0" w:space="0" w:color="auto"/>
        <w:left w:val="none" w:sz="0" w:space="0" w:color="auto"/>
        <w:bottom w:val="none" w:sz="0" w:space="0" w:color="auto"/>
        <w:right w:val="none" w:sz="0" w:space="0" w:color="auto"/>
      </w:divBdr>
    </w:div>
    <w:div w:id="390542038">
      <w:bodyDiv w:val="1"/>
      <w:marLeft w:val="0"/>
      <w:marRight w:val="0"/>
      <w:marTop w:val="0"/>
      <w:marBottom w:val="0"/>
      <w:divBdr>
        <w:top w:val="none" w:sz="0" w:space="0" w:color="auto"/>
        <w:left w:val="none" w:sz="0" w:space="0" w:color="auto"/>
        <w:bottom w:val="none" w:sz="0" w:space="0" w:color="auto"/>
        <w:right w:val="none" w:sz="0" w:space="0" w:color="auto"/>
      </w:divBdr>
    </w:div>
    <w:div w:id="415133625">
      <w:bodyDiv w:val="1"/>
      <w:marLeft w:val="0"/>
      <w:marRight w:val="0"/>
      <w:marTop w:val="0"/>
      <w:marBottom w:val="0"/>
      <w:divBdr>
        <w:top w:val="none" w:sz="0" w:space="0" w:color="auto"/>
        <w:left w:val="none" w:sz="0" w:space="0" w:color="auto"/>
        <w:bottom w:val="none" w:sz="0" w:space="0" w:color="auto"/>
        <w:right w:val="none" w:sz="0" w:space="0" w:color="auto"/>
      </w:divBdr>
    </w:div>
    <w:div w:id="458260028">
      <w:bodyDiv w:val="1"/>
      <w:marLeft w:val="0"/>
      <w:marRight w:val="0"/>
      <w:marTop w:val="0"/>
      <w:marBottom w:val="0"/>
      <w:divBdr>
        <w:top w:val="none" w:sz="0" w:space="0" w:color="auto"/>
        <w:left w:val="none" w:sz="0" w:space="0" w:color="auto"/>
        <w:bottom w:val="none" w:sz="0" w:space="0" w:color="auto"/>
        <w:right w:val="none" w:sz="0" w:space="0" w:color="auto"/>
      </w:divBdr>
    </w:div>
    <w:div w:id="486019514">
      <w:bodyDiv w:val="1"/>
      <w:marLeft w:val="0"/>
      <w:marRight w:val="0"/>
      <w:marTop w:val="0"/>
      <w:marBottom w:val="0"/>
      <w:divBdr>
        <w:top w:val="none" w:sz="0" w:space="0" w:color="auto"/>
        <w:left w:val="none" w:sz="0" w:space="0" w:color="auto"/>
        <w:bottom w:val="none" w:sz="0" w:space="0" w:color="auto"/>
        <w:right w:val="none" w:sz="0" w:space="0" w:color="auto"/>
      </w:divBdr>
    </w:div>
    <w:div w:id="505174122">
      <w:bodyDiv w:val="1"/>
      <w:marLeft w:val="0"/>
      <w:marRight w:val="0"/>
      <w:marTop w:val="0"/>
      <w:marBottom w:val="0"/>
      <w:divBdr>
        <w:top w:val="none" w:sz="0" w:space="0" w:color="auto"/>
        <w:left w:val="none" w:sz="0" w:space="0" w:color="auto"/>
        <w:bottom w:val="none" w:sz="0" w:space="0" w:color="auto"/>
        <w:right w:val="none" w:sz="0" w:space="0" w:color="auto"/>
      </w:divBdr>
    </w:div>
    <w:div w:id="524245116">
      <w:bodyDiv w:val="1"/>
      <w:marLeft w:val="0"/>
      <w:marRight w:val="0"/>
      <w:marTop w:val="0"/>
      <w:marBottom w:val="0"/>
      <w:divBdr>
        <w:top w:val="none" w:sz="0" w:space="0" w:color="auto"/>
        <w:left w:val="none" w:sz="0" w:space="0" w:color="auto"/>
        <w:bottom w:val="none" w:sz="0" w:space="0" w:color="auto"/>
        <w:right w:val="none" w:sz="0" w:space="0" w:color="auto"/>
      </w:divBdr>
    </w:div>
    <w:div w:id="531309455">
      <w:bodyDiv w:val="1"/>
      <w:marLeft w:val="0"/>
      <w:marRight w:val="0"/>
      <w:marTop w:val="0"/>
      <w:marBottom w:val="0"/>
      <w:divBdr>
        <w:top w:val="none" w:sz="0" w:space="0" w:color="auto"/>
        <w:left w:val="none" w:sz="0" w:space="0" w:color="auto"/>
        <w:bottom w:val="none" w:sz="0" w:space="0" w:color="auto"/>
        <w:right w:val="none" w:sz="0" w:space="0" w:color="auto"/>
      </w:divBdr>
    </w:div>
    <w:div w:id="581110718">
      <w:bodyDiv w:val="1"/>
      <w:marLeft w:val="0"/>
      <w:marRight w:val="0"/>
      <w:marTop w:val="0"/>
      <w:marBottom w:val="0"/>
      <w:divBdr>
        <w:top w:val="none" w:sz="0" w:space="0" w:color="auto"/>
        <w:left w:val="none" w:sz="0" w:space="0" w:color="auto"/>
        <w:bottom w:val="none" w:sz="0" w:space="0" w:color="auto"/>
        <w:right w:val="none" w:sz="0" w:space="0" w:color="auto"/>
      </w:divBdr>
    </w:div>
    <w:div w:id="615522184">
      <w:bodyDiv w:val="1"/>
      <w:marLeft w:val="0"/>
      <w:marRight w:val="0"/>
      <w:marTop w:val="0"/>
      <w:marBottom w:val="0"/>
      <w:divBdr>
        <w:top w:val="none" w:sz="0" w:space="0" w:color="auto"/>
        <w:left w:val="none" w:sz="0" w:space="0" w:color="auto"/>
        <w:bottom w:val="none" w:sz="0" w:space="0" w:color="auto"/>
        <w:right w:val="none" w:sz="0" w:space="0" w:color="auto"/>
      </w:divBdr>
    </w:div>
    <w:div w:id="626861626">
      <w:bodyDiv w:val="1"/>
      <w:marLeft w:val="0"/>
      <w:marRight w:val="0"/>
      <w:marTop w:val="0"/>
      <w:marBottom w:val="0"/>
      <w:divBdr>
        <w:top w:val="none" w:sz="0" w:space="0" w:color="auto"/>
        <w:left w:val="none" w:sz="0" w:space="0" w:color="auto"/>
        <w:bottom w:val="none" w:sz="0" w:space="0" w:color="auto"/>
        <w:right w:val="none" w:sz="0" w:space="0" w:color="auto"/>
      </w:divBdr>
    </w:div>
    <w:div w:id="655691179">
      <w:bodyDiv w:val="1"/>
      <w:marLeft w:val="0"/>
      <w:marRight w:val="0"/>
      <w:marTop w:val="0"/>
      <w:marBottom w:val="0"/>
      <w:divBdr>
        <w:top w:val="none" w:sz="0" w:space="0" w:color="auto"/>
        <w:left w:val="none" w:sz="0" w:space="0" w:color="auto"/>
        <w:bottom w:val="none" w:sz="0" w:space="0" w:color="auto"/>
        <w:right w:val="none" w:sz="0" w:space="0" w:color="auto"/>
      </w:divBdr>
    </w:div>
    <w:div w:id="672729750">
      <w:bodyDiv w:val="1"/>
      <w:marLeft w:val="0"/>
      <w:marRight w:val="0"/>
      <w:marTop w:val="0"/>
      <w:marBottom w:val="0"/>
      <w:divBdr>
        <w:top w:val="none" w:sz="0" w:space="0" w:color="auto"/>
        <w:left w:val="none" w:sz="0" w:space="0" w:color="auto"/>
        <w:bottom w:val="none" w:sz="0" w:space="0" w:color="auto"/>
        <w:right w:val="none" w:sz="0" w:space="0" w:color="auto"/>
      </w:divBdr>
    </w:div>
    <w:div w:id="757292731">
      <w:bodyDiv w:val="1"/>
      <w:marLeft w:val="0"/>
      <w:marRight w:val="0"/>
      <w:marTop w:val="0"/>
      <w:marBottom w:val="0"/>
      <w:divBdr>
        <w:top w:val="none" w:sz="0" w:space="0" w:color="auto"/>
        <w:left w:val="none" w:sz="0" w:space="0" w:color="auto"/>
        <w:bottom w:val="none" w:sz="0" w:space="0" w:color="auto"/>
        <w:right w:val="none" w:sz="0" w:space="0" w:color="auto"/>
      </w:divBdr>
    </w:div>
    <w:div w:id="794367518">
      <w:bodyDiv w:val="1"/>
      <w:marLeft w:val="0"/>
      <w:marRight w:val="0"/>
      <w:marTop w:val="0"/>
      <w:marBottom w:val="0"/>
      <w:divBdr>
        <w:top w:val="none" w:sz="0" w:space="0" w:color="auto"/>
        <w:left w:val="none" w:sz="0" w:space="0" w:color="auto"/>
        <w:bottom w:val="none" w:sz="0" w:space="0" w:color="auto"/>
        <w:right w:val="none" w:sz="0" w:space="0" w:color="auto"/>
      </w:divBdr>
    </w:div>
    <w:div w:id="875317689">
      <w:bodyDiv w:val="1"/>
      <w:marLeft w:val="0"/>
      <w:marRight w:val="0"/>
      <w:marTop w:val="0"/>
      <w:marBottom w:val="0"/>
      <w:divBdr>
        <w:top w:val="none" w:sz="0" w:space="0" w:color="auto"/>
        <w:left w:val="none" w:sz="0" w:space="0" w:color="auto"/>
        <w:bottom w:val="none" w:sz="0" w:space="0" w:color="auto"/>
        <w:right w:val="none" w:sz="0" w:space="0" w:color="auto"/>
      </w:divBdr>
    </w:div>
    <w:div w:id="891188337">
      <w:bodyDiv w:val="1"/>
      <w:marLeft w:val="0"/>
      <w:marRight w:val="0"/>
      <w:marTop w:val="0"/>
      <w:marBottom w:val="0"/>
      <w:divBdr>
        <w:top w:val="none" w:sz="0" w:space="0" w:color="auto"/>
        <w:left w:val="none" w:sz="0" w:space="0" w:color="auto"/>
        <w:bottom w:val="none" w:sz="0" w:space="0" w:color="auto"/>
        <w:right w:val="none" w:sz="0" w:space="0" w:color="auto"/>
      </w:divBdr>
    </w:div>
    <w:div w:id="904335850">
      <w:bodyDiv w:val="1"/>
      <w:marLeft w:val="0"/>
      <w:marRight w:val="0"/>
      <w:marTop w:val="0"/>
      <w:marBottom w:val="0"/>
      <w:divBdr>
        <w:top w:val="none" w:sz="0" w:space="0" w:color="auto"/>
        <w:left w:val="none" w:sz="0" w:space="0" w:color="auto"/>
        <w:bottom w:val="none" w:sz="0" w:space="0" w:color="auto"/>
        <w:right w:val="none" w:sz="0" w:space="0" w:color="auto"/>
      </w:divBdr>
    </w:div>
    <w:div w:id="931202294">
      <w:bodyDiv w:val="1"/>
      <w:marLeft w:val="0"/>
      <w:marRight w:val="0"/>
      <w:marTop w:val="0"/>
      <w:marBottom w:val="0"/>
      <w:divBdr>
        <w:top w:val="none" w:sz="0" w:space="0" w:color="auto"/>
        <w:left w:val="none" w:sz="0" w:space="0" w:color="auto"/>
        <w:bottom w:val="none" w:sz="0" w:space="0" w:color="auto"/>
        <w:right w:val="none" w:sz="0" w:space="0" w:color="auto"/>
      </w:divBdr>
    </w:div>
    <w:div w:id="955134361">
      <w:bodyDiv w:val="1"/>
      <w:marLeft w:val="0"/>
      <w:marRight w:val="0"/>
      <w:marTop w:val="0"/>
      <w:marBottom w:val="0"/>
      <w:divBdr>
        <w:top w:val="none" w:sz="0" w:space="0" w:color="auto"/>
        <w:left w:val="none" w:sz="0" w:space="0" w:color="auto"/>
        <w:bottom w:val="none" w:sz="0" w:space="0" w:color="auto"/>
        <w:right w:val="none" w:sz="0" w:space="0" w:color="auto"/>
      </w:divBdr>
    </w:div>
    <w:div w:id="1003970884">
      <w:bodyDiv w:val="1"/>
      <w:marLeft w:val="0"/>
      <w:marRight w:val="0"/>
      <w:marTop w:val="0"/>
      <w:marBottom w:val="0"/>
      <w:divBdr>
        <w:top w:val="none" w:sz="0" w:space="0" w:color="auto"/>
        <w:left w:val="none" w:sz="0" w:space="0" w:color="auto"/>
        <w:bottom w:val="none" w:sz="0" w:space="0" w:color="auto"/>
        <w:right w:val="none" w:sz="0" w:space="0" w:color="auto"/>
      </w:divBdr>
    </w:div>
    <w:div w:id="1059743441">
      <w:bodyDiv w:val="1"/>
      <w:marLeft w:val="0"/>
      <w:marRight w:val="0"/>
      <w:marTop w:val="0"/>
      <w:marBottom w:val="0"/>
      <w:divBdr>
        <w:top w:val="none" w:sz="0" w:space="0" w:color="auto"/>
        <w:left w:val="none" w:sz="0" w:space="0" w:color="auto"/>
        <w:bottom w:val="none" w:sz="0" w:space="0" w:color="auto"/>
        <w:right w:val="none" w:sz="0" w:space="0" w:color="auto"/>
      </w:divBdr>
    </w:div>
    <w:div w:id="1059791363">
      <w:bodyDiv w:val="1"/>
      <w:marLeft w:val="0"/>
      <w:marRight w:val="0"/>
      <w:marTop w:val="0"/>
      <w:marBottom w:val="0"/>
      <w:divBdr>
        <w:top w:val="none" w:sz="0" w:space="0" w:color="auto"/>
        <w:left w:val="none" w:sz="0" w:space="0" w:color="auto"/>
        <w:bottom w:val="none" w:sz="0" w:space="0" w:color="auto"/>
        <w:right w:val="none" w:sz="0" w:space="0" w:color="auto"/>
      </w:divBdr>
    </w:div>
    <w:div w:id="1099986782">
      <w:bodyDiv w:val="1"/>
      <w:marLeft w:val="0"/>
      <w:marRight w:val="0"/>
      <w:marTop w:val="0"/>
      <w:marBottom w:val="0"/>
      <w:divBdr>
        <w:top w:val="none" w:sz="0" w:space="0" w:color="auto"/>
        <w:left w:val="none" w:sz="0" w:space="0" w:color="auto"/>
        <w:bottom w:val="none" w:sz="0" w:space="0" w:color="auto"/>
        <w:right w:val="none" w:sz="0" w:space="0" w:color="auto"/>
      </w:divBdr>
    </w:div>
    <w:div w:id="1128814211">
      <w:bodyDiv w:val="1"/>
      <w:marLeft w:val="0"/>
      <w:marRight w:val="0"/>
      <w:marTop w:val="0"/>
      <w:marBottom w:val="0"/>
      <w:divBdr>
        <w:top w:val="none" w:sz="0" w:space="0" w:color="auto"/>
        <w:left w:val="none" w:sz="0" w:space="0" w:color="auto"/>
        <w:bottom w:val="none" w:sz="0" w:space="0" w:color="auto"/>
        <w:right w:val="none" w:sz="0" w:space="0" w:color="auto"/>
      </w:divBdr>
    </w:div>
    <w:div w:id="1180702042">
      <w:bodyDiv w:val="1"/>
      <w:marLeft w:val="0"/>
      <w:marRight w:val="0"/>
      <w:marTop w:val="0"/>
      <w:marBottom w:val="0"/>
      <w:divBdr>
        <w:top w:val="none" w:sz="0" w:space="0" w:color="auto"/>
        <w:left w:val="none" w:sz="0" w:space="0" w:color="auto"/>
        <w:bottom w:val="none" w:sz="0" w:space="0" w:color="auto"/>
        <w:right w:val="none" w:sz="0" w:space="0" w:color="auto"/>
      </w:divBdr>
    </w:div>
    <w:div w:id="1258908224">
      <w:bodyDiv w:val="1"/>
      <w:marLeft w:val="0"/>
      <w:marRight w:val="0"/>
      <w:marTop w:val="0"/>
      <w:marBottom w:val="0"/>
      <w:divBdr>
        <w:top w:val="none" w:sz="0" w:space="0" w:color="auto"/>
        <w:left w:val="none" w:sz="0" w:space="0" w:color="auto"/>
        <w:bottom w:val="none" w:sz="0" w:space="0" w:color="auto"/>
        <w:right w:val="none" w:sz="0" w:space="0" w:color="auto"/>
      </w:divBdr>
    </w:div>
    <w:div w:id="1275752324">
      <w:bodyDiv w:val="1"/>
      <w:marLeft w:val="0"/>
      <w:marRight w:val="0"/>
      <w:marTop w:val="0"/>
      <w:marBottom w:val="0"/>
      <w:divBdr>
        <w:top w:val="none" w:sz="0" w:space="0" w:color="auto"/>
        <w:left w:val="none" w:sz="0" w:space="0" w:color="auto"/>
        <w:bottom w:val="none" w:sz="0" w:space="0" w:color="auto"/>
        <w:right w:val="none" w:sz="0" w:space="0" w:color="auto"/>
      </w:divBdr>
    </w:div>
    <w:div w:id="1391460938">
      <w:bodyDiv w:val="1"/>
      <w:marLeft w:val="0"/>
      <w:marRight w:val="0"/>
      <w:marTop w:val="0"/>
      <w:marBottom w:val="0"/>
      <w:divBdr>
        <w:top w:val="none" w:sz="0" w:space="0" w:color="auto"/>
        <w:left w:val="none" w:sz="0" w:space="0" w:color="auto"/>
        <w:bottom w:val="none" w:sz="0" w:space="0" w:color="auto"/>
        <w:right w:val="none" w:sz="0" w:space="0" w:color="auto"/>
      </w:divBdr>
    </w:div>
    <w:div w:id="1402362297">
      <w:bodyDiv w:val="1"/>
      <w:marLeft w:val="0"/>
      <w:marRight w:val="0"/>
      <w:marTop w:val="0"/>
      <w:marBottom w:val="0"/>
      <w:divBdr>
        <w:top w:val="none" w:sz="0" w:space="0" w:color="auto"/>
        <w:left w:val="none" w:sz="0" w:space="0" w:color="auto"/>
        <w:bottom w:val="none" w:sz="0" w:space="0" w:color="auto"/>
        <w:right w:val="none" w:sz="0" w:space="0" w:color="auto"/>
      </w:divBdr>
    </w:div>
    <w:div w:id="1427799948">
      <w:bodyDiv w:val="1"/>
      <w:marLeft w:val="0"/>
      <w:marRight w:val="0"/>
      <w:marTop w:val="0"/>
      <w:marBottom w:val="0"/>
      <w:divBdr>
        <w:top w:val="none" w:sz="0" w:space="0" w:color="auto"/>
        <w:left w:val="none" w:sz="0" w:space="0" w:color="auto"/>
        <w:bottom w:val="none" w:sz="0" w:space="0" w:color="auto"/>
        <w:right w:val="none" w:sz="0" w:space="0" w:color="auto"/>
      </w:divBdr>
    </w:div>
    <w:div w:id="1428117114">
      <w:bodyDiv w:val="1"/>
      <w:marLeft w:val="0"/>
      <w:marRight w:val="0"/>
      <w:marTop w:val="0"/>
      <w:marBottom w:val="0"/>
      <w:divBdr>
        <w:top w:val="none" w:sz="0" w:space="0" w:color="auto"/>
        <w:left w:val="none" w:sz="0" w:space="0" w:color="auto"/>
        <w:bottom w:val="none" w:sz="0" w:space="0" w:color="auto"/>
        <w:right w:val="none" w:sz="0" w:space="0" w:color="auto"/>
      </w:divBdr>
    </w:div>
    <w:div w:id="1559171192">
      <w:bodyDiv w:val="1"/>
      <w:marLeft w:val="0"/>
      <w:marRight w:val="0"/>
      <w:marTop w:val="0"/>
      <w:marBottom w:val="0"/>
      <w:divBdr>
        <w:top w:val="none" w:sz="0" w:space="0" w:color="auto"/>
        <w:left w:val="none" w:sz="0" w:space="0" w:color="auto"/>
        <w:bottom w:val="none" w:sz="0" w:space="0" w:color="auto"/>
        <w:right w:val="none" w:sz="0" w:space="0" w:color="auto"/>
      </w:divBdr>
    </w:div>
    <w:div w:id="1614093746">
      <w:bodyDiv w:val="1"/>
      <w:marLeft w:val="0"/>
      <w:marRight w:val="0"/>
      <w:marTop w:val="0"/>
      <w:marBottom w:val="0"/>
      <w:divBdr>
        <w:top w:val="none" w:sz="0" w:space="0" w:color="auto"/>
        <w:left w:val="none" w:sz="0" w:space="0" w:color="auto"/>
        <w:bottom w:val="none" w:sz="0" w:space="0" w:color="auto"/>
        <w:right w:val="none" w:sz="0" w:space="0" w:color="auto"/>
      </w:divBdr>
    </w:div>
    <w:div w:id="1666546319">
      <w:bodyDiv w:val="1"/>
      <w:marLeft w:val="0"/>
      <w:marRight w:val="0"/>
      <w:marTop w:val="0"/>
      <w:marBottom w:val="0"/>
      <w:divBdr>
        <w:top w:val="none" w:sz="0" w:space="0" w:color="auto"/>
        <w:left w:val="none" w:sz="0" w:space="0" w:color="auto"/>
        <w:bottom w:val="none" w:sz="0" w:space="0" w:color="auto"/>
        <w:right w:val="none" w:sz="0" w:space="0" w:color="auto"/>
      </w:divBdr>
    </w:div>
    <w:div w:id="1680504672">
      <w:bodyDiv w:val="1"/>
      <w:marLeft w:val="0"/>
      <w:marRight w:val="0"/>
      <w:marTop w:val="0"/>
      <w:marBottom w:val="0"/>
      <w:divBdr>
        <w:top w:val="none" w:sz="0" w:space="0" w:color="auto"/>
        <w:left w:val="none" w:sz="0" w:space="0" w:color="auto"/>
        <w:bottom w:val="none" w:sz="0" w:space="0" w:color="auto"/>
        <w:right w:val="none" w:sz="0" w:space="0" w:color="auto"/>
      </w:divBdr>
    </w:div>
    <w:div w:id="1704549685">
      <w:bodyDiv w:val="1"/>
      <w:marLeft w:val="0"/>
      <w:marRight w:val="0"/>
      <w:marTop w:val="0"/>
      <w:marBottom w:val="0"/>
      <w:divBdr>
        <w:top w:val="none" w:sz="0" w:space="0" w:color="auto"/>
        <w:left w:val="none" w:sz="0" w:space="0" w:color="auto"/>
        <w:bottom w:val="none" w:sz="0" w:space="0" w:color="auto"/>
        <w:right w:val="none" w:sz="0" w:space="0" w:color="auto"/>
      </w:divBdr>
    </w:div>
    <w:div w:id="1729693568">
      <w:bodyDiv w:val="1"/>
      <w:marLeft w:val="0"/>
      <w:marRight w:val="0"/>
      <w:marTop w:val="0"/>
      <w:marBottom w:val="0"/>
      <w:divBdr>
        <w:top w:val="none" w:sz="0" w:space="0" w:color="auto"/>
        <w:left w:val="none" w:sz="0" w:space="0" w:color="auto"/>
        <w:bottom w:val="none" w:sz="0" w:space="0" w:color="auto"/>
        <w:right w:val="none" w:sz="0" w:space="0" w:color="auto"/>
      </w:divBdr>
    </w:div>
    <w:div w:id="1743674686">
      <w:bodyDiv w:val="1"/>
      <w:marLeft w:val="0"/>
      <w:marRight w:val="0"/>
      <w:marTop w:val="0"/>
      <w:marBottom w:val="0"/>
      <w:divBdr>
        <w:top w:val="none" w:sz="0" w:space="0" w:color="auto"/>
        <w:left w:val="none" w:sz="0" w:space="0" w:color="auto"/>
        <w:bottom w:val="none" w:sz="0" w:space="0" w:color="auto"/>
        <w:right w:val="none" w:sz="0" w:space="0" w:color="auto"/>
      </w:divBdr>
    </w:div>
    <w:div w:id="1756709355">
      <w:bodyDiv w:val="1"/>
      <w:marLeft w:val="0"/>
      <w:marRight w:val="0"/>
      <w:marTop w:val="0"/>
      <w:marBottom w:val="0"/>
      <w:divBdr>
        <w:top w:val="none" w:sz="0" w:space="0" w:color="auto"/>
        <w:left w:val="none" w:sz="0" w:space="0" w:color="auto"/>
        <w:bottom w:val="none" w:sz="0" w:space="0" w:color="auto"/>
        <w:right w:val="none" w:sz="0" w:space="0" w:color="auto"/>
      </w:divBdr>
    </w:div>
    <w:div w:id="1783300991">
      <w:bodyDiv w:val="1"/>
      <w:marLeft w:val="0"/>
      <w:marRight w:val="0"/>
      <w:marTop w:val="0"/>
      <w:marBottom w:val="0"/>
      <w:divBdr>
        <w:top w:val="none" w:sz="0" w:space="0" w:color="auto"/>
        <w:left w:val="none" w:sz="0" w:space="0" w:color="auto"/>
        <w:bottom w:val="none" w:sz="0" w:space="0" w:color="auto"/>
        <w:right w:val="none" w:sz="0" w:space="0" w:color="auto"/>
      </w:divBdr>
    </w:div>
    <w:div w:id="1785152196">
      <w:bodyDiv w:val="1"/>
      <w:marLeft w:val="0"/>
      <w:marRight w:val="0"/>
      <w:marTop w:val="0"/>
      <w:marBottom w:val="0"/>
      <w:divBdr>
        <w:top w:val="none" w:sz="0" w:space="0" w:color="auto"/>
        <w:left w:val="none" w:sz="0" w:space="0" w:color="auto"/>
        <w:bottom w:val="none" w:sz="0" w:space="0" w:color="auto"/>
        <w:right w:val="none" w:sz="0" w:space="0" w:color="auto"/>
      </w:divBdr>
    </w:div>
    <w:div w:id="1785953344">
      <w:bodyDiv w:val="1"/>
      <w:marLeft w:val="0"/>
      <w:marRight w:val="0"/>
      <w:marTop w:val="0"/>
      <w:marBottom w:val="0"/>
      <w:divBdr>
        <w:top w:val="none" w:sz="0" w:space="0" w:color="auto"/>
        <w:left w:val="none" w:sz="0" w:space="0" w:color="auto"/>
        <w:bottom w:val="none" w:sz="0" w:space="0" w:color="auto"/>
        <w:right w:val="none" w:sz="0" w:space="0" w:color="auto"/>
      </w:divBdr>
    </w:div>
    <w:div w:id="1787693239">
      <w:bodyDiv w:val="1"/>
      <w:marLeft w:val="0"/>
      <w:marRight w:val="0"/>
      <w:marTop w:val="0"/>
      <w:marBottom w:val="0"/>
      <w:divBdr>
        <w:top w:val="none" w:sz="0" w:space="0" w:color="auto"/>
        <w:left w:val="none" w:sz="0" w:space="0" w:color="auto"/>
        <w:bottom w:val="none" w:sz="0" w:space="0" w:color="auto"/>
        <w:right w:val="none" w:sz="0" w:space="0" w:color="auto"/>
      </w:divBdr>
    </w:div>
    <w:div w:id="1845895925">
      <w:bodyDiv w:val="1"/>
      <w:marLeft w:val="0"/>
      <w:marRight w:val="0"/>
      <w:marTop w:val="0"/>
      <w:marBottom w:val="0"/>
      <w:divBdr>
        <w:top w:val="none" w:sz="0" w:space="0" w:color="auto"/>
        <w:left w:val="none" w:sz="0" w:space="0" w:color="auto"/>
        <w:bottom w:val="none" w:sz="0" w:space="0" w:color="auto"/>
        <w:right w:val="none" w:sz="0" w:space="0" w:color="auto"/>
      </w:divBdr>
    </w:div>
    <w:div w:id="1849127919">
      <w:bodyDiv w:val="1"/>
      <w:marLeft w:val="0"/>
      <w:marRight w:val="0"/>
      <w:marTop w:val="0"/>
      <w:marBottom w:val="0"/>
      <w:divBdr>
        <w:top w:val="none" w:sz="0" w:space="0" w:color="auto"/>
        <w:left w:val="none" w:sz="0" w:space="0" w:color="auto"/>
        <w:bottom w:val="none" w:sz="0" w:space="0" w:color="auto"/>
        <w:right w:val="none" w:sz="0" w:space="0" w:color="auto"/>
      </w:divBdr>
    </w:div>
    <w:div w:id="1943950570">
      <w:bodyDiv w:val="1"/>
      <w:marLeft w:val="0"/>
      <w:marRight w:val="0"/>
      <w:marTop w:val="0"/>
      <w:marBottom w:val="0"/>
      <w:divBdr>
        <w:top w:val="none" w:sz="0" w:space="0" w:color="auto"/>
        <w:left w:val="none" w:sz="0" w:space="0" w:color="auto"/>
        <w:bottom w:val="none" w:sz="0" w:space="0" w:color="auto"/>
        <w:right w:val="none" w:sz="0" w:space="0" w:color="auto"/>
      </w:divBdr>
    </w:div>
    <w:div w:id="1954358999">
      <w:bodyDiv w:val="1"/>
      <w:marLeft w:val="0"/>
      <w:marRight w:val="0"/>
      <w:marTop w:val="0"/>
      <w:marBottom w:val="0"/>
      <w:divBdr>
        <w:top w:val="none" w:sz="0" w:space="0" w:color="auto"/>
        <w:left w:val="none" w:sz="0" w:space="0" w:color="auto"/>
        <w:bottom w:val="none" w:sz="0" w:space="0" w:color="auto"/>
        <w:right w:val="none" w:sz="0" w:space="0" w:color="auto"/>
      </w:divBdr>
    </w:div>
    <w:div w:id="1998146736">
      <w:bodyDiv w:val="1"/>
      <w:marLeft w:val="0"/>
      <w:marRight w:val="0"/>
      <w:marTop w:val="0"/>
      <w:marBottom w:val="0"/>
      <w:divBdr>
        <w:top w:val="none" w:sz="0" w:space="0" w:color="auto"/>
        <w:left w:val="none" w:sz="0" w:space="0" w:color="auto"/>
        <w:bottom w:val="none" w:sz="0" w:space="0" w:color="auto"/>
        <w:right w:val="none" w:sz="0" w:space="0" w:color="auto"/>
      </w:divBdr>
    </w:div>
    <w:div w:id="2030064014">
      <w:bodyDiv w:val="1"/>
      <w:marLeft w:val="0"/>
      <w:marRight w:val="0"/>
      <w:marTop w:val="0"/>
      <w:marBottom w:val="0"/>
      <w:divBdr>
        <w:top w:val="none" w:sz="0" w:space="0" w:color="auto"/>
        <w:left w:val="none" w:sz="0" w:space="0" w:color="auto"/>
        <w:bottom w:val="none" w:sz="0" w:space="0" w:color="auto"/>
        <w:right w:val="none" w:sz="0" w:space="0" w:color="auto"/>
      </w:divBdr>
    </w:div>
    <w:div w:id="2046052672">
      <w:bodyDiv w:val="1"/>
      <w:marLeft w:val="0"/>
      <w:marRight w:val="0"/>
      <w:marTop w:val="0"/>
      <w:marBottom w:val="0"/>
      <w:divBdr>
        <w:top w:val="none" w:sz="0" w:space="0" w:color="auto"/>
        <w:left w:val="none" w:sz="0" w:space="0" w:color="auto"/>
        <w:bottom w:val="none" w:sz="0" w:space="0" w:color="auto"/>
        <w:right w:val="none" w:sz="0" w:space="0" w:color="auto"/>
      </w:divBdr>
    </w:div>
    <w:div w:id="2050716971">
      <w:bodyDiv w:val="1"/>
      <w:marLeft w:val="0"/>
      <w:marRight w:val="0"/>
      <w:marTop w:val="0"/>
      <w:marBottom w:val="0"/>
      <w:divBdr>
        <w:top w:val="none" w:sz="0" w:space="0" w:color="auto"/>
        <w:left w:val="none" w:sz="0" w:space="0" w:color="auto"/>
        <w:bottom w:val="none" w:sz="0" w:space="0" w:color="auto"/>
        <w:right w:val="none" w:sz="0" w:space="0" w:color="auto"/>
      </w:divBdr>
    </w:div>
    <w:div w:id="2073044381">
      <w:bodyDiv w:val="1"/>
      <w:marLeft w:val="0"/>
      <w:marRight w:val="0"/>
      <w:marTop w:val="0"/>
      <w:marBottom w:val="0"/>
      <w:divBdr>
        <w:top w:val="none" w:sz="0" w:space="0" w:color="auto"/>
        <w:left w:val="none" w:sz="0" w:space="0" w:color="auto"/>
        <w:bottom w:val="none" w:sz="0" w:space="0" w:color="auto"/>
        <w:right w:val="none" w:sz="0" w:space="0" w:color="auto"/>
      </w:divBdr>
    </w:div>
    <w:div w:id="213948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so-huu-tri-tue/nghi-dinh-79-2023-nd-cp-huong-dan-luat-so-huu-tri-tue-quyen-doi-voi-giong-cay-trong-586871.aspx" TargetMode="External"/><Relationship Id="rId2" Type="http://schemas.openxmlformats.org/officeDocument/2006/relationships/hyperlink" Target="http://hscv.vpcp.vn/Authentication%21actionChooseGroup.do" TargetMode="External"/><Relationship Id="rId1" Type="http://schemas.openxmlformats.org/officeDocument/2006/relationships/hyperlink" Target="http://hscv.vpcp.vn/Authentication%21actionChooseGroup.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KYnxaDE0MVhgr5waZ935ejRO2g==">AMUW2mVpKl0xXVGGpUPwaR2qHkQRw31xqp1wTr0RB5RKDRgTIWL3HWowUO89vFHmX6EloR4kybSb5fb61WXI/ialWTUXnsMtRQT/Je8EzUHBLGcyHoD4MSbaE/7pnU/Kul0O7cU+VrIhEQ3iLBLCCktES9SQDHEO536K1vHoVGOyAT4J/we3rNVmBY/XSlpgVok7ublghwaOw/Y3Mh+bWeZ+cambALUS2Q==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3E9326-5480-4FFE-A2D8-86D7DEB0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11</Pages>
  <Words>4130</Words>
  <Characters>23546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nguyenhoanglong</dc:creator>
  <cp:lastModifiedBy>user1</cp:lastModifiedBy>
  <cp:revision>12</cp:revision>
  <cp:lastPrinted>2023-12-30T10:24:00Z</cp:lastPrinted>
  <dcterms:created xsi:type="dcterms:W3CDTF">2023-12-29T11:01:00Z</dcterms:created>
  <dcterms:modified xsi:type="dcterms:W3CDTF">2023-12-30T11:41:00Z</dcterms:modified>
</cp:coreProperties>
</file>